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5682F" w14:textId="41469EA4" w:rsidR="004E4E6A" w:rsidRDefault="00A07A6F" w:rsidP="00A67BF0">
      <w:pPr>
        <w:jc w:val="center"/>
        <w:rPr>
          <w:b/>
          <w:bCs/>
          <w:sz w:val="28"/>
          <w:szCs w:val="28"/>
        </w:rPr>
      </w:pPr>
      <w:r w:rsidRPr="00C22437">
        <w:rPr>
          <w:b/>
          <w:bCs/>
          <w:noProof/>
          <w:color w:val="FF0000"/>
          <w:sz w:val="28"/>
          <w:szCs w:val="28"/>
          <w:lang w:val="ru-RU" w:eastAsia="ru-RU"/>
        </w:rPr>
        <w:drawing>
          <wp:inline distT="0" distB="0" distL="0" distR="0" wp14:anchorId="4D40D045" wp14:editId="4A82C6F9">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0EAD32F9" w14:textId="77777777" w:rsidR="00A07A6F" w:rsidRDefault="00A07A6F" w:rsidP="00A67BF0">
      <w:pPr>
        <w:jc w:val="center"/>
        <w:rPr>
          <w:b/>
          <w:bCs/>
          <w:sz w:val="28"/>
          <w:szCs w:val="28"/>
        </w:rPr>
      </w:pPr>
    </w:p>
    <w:p w14:paraId="1857EC2E" w14:textId="0CE3DB1F" w:rsidR="00A67BF0" w:rsidRDefault="00A67BF0" w:rsidP="00A67BF0">
      <w:pPr>
        <w:jc w:val="center"/>
        <w:rPr>
          <w:b/>
          <w:bCs/>
          <w:sz w:val="28"/>
          <w:szCs w:val="28"/>
        </w:rPr>
      </w:pPr>
      <w:r w:rsidRPr="00A67BF0">
        <w:rPr>
          <w:b/>
          <w:bCs/>
          <w:sz w:val="28"/>
          <w:szCs w:val="28"/>
        </w:rPr>
        <w:t>Programme specification for Bachelor’s programme</w:t>
      </w:r>
      <w:r w:rsidR="00A07A6F">
        <w:rPr>
          <w:b/>
          <w:bCs/>
          <w:sz w:val="28"/>
          <w:szCs w:val="28"/>
        </w:rPr>
        <w:t xml:space="preserve"> in Public Administration</w:t>
      </w:r>
      <w:r w:rsidRPr="00A67BF0">
        <w:rPr>
          <w:b/>
          <w:bCs/>
          <w:sz w:val="28"/>
          <w:szCs w:val="28"/>
        </w:rPr>
        <w:t xml:space="preserve"> at Tashkent State University of Law </w:t>
      </w:r>
      <w:r>
        <w:rPr>
          <w:b/>
          <w:bCs/>
          <w:sz w:val="28"/>
          <w:szCs w:val="28"/>
        </w:rPr>
        <w:t>(TSUL)</w:t>
      </w:r>
    </w:p>
    <w:p w14:paraId="00962812" w14:textId="77777777" w:rsidR="00F848AA" w:rsidRDefault="00F848AA" w:rsidP="00A67BF0">
      <w:pPr>
        <w:jc w:val="center"/>
        <w:rPr>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2671E8" w14:paraId="7C6227F7" w14:textId="77777777" w:rsidTr="002671E8">
        <w:tc>
          <w:tcPr>
            <w:tcW w:w="4229" w:type="dxa"/>
          </w:tcPr>
          <w:p w14:paraId="5D7416EA" w14:textId="7C35B290" w:rsidR="00F848AA" w:rsidRPr="002671E8" w:rsidRDefault="00F848AA" w:rsidP="00F848AA">
            <w:pPr>
              <w:jc w:val="center"/>
              <w:rPr>
                <w:b/>
                <w:bCs/>
                <w:sz w:val="28"/>
                <w:szCs w:val="28"/>
              </w:rPr>
            </w:pPr>
            <w:r w:rsidRPr="002671E8">
              <w:rPr>
                <w:b/>
                <w:bCs/>
                <w:sz w:val="28"/>
                <w:szCs w:val="28"/>
              </w:rPr>
              <w:t>Awarding body</w:t>
            </w:r>
          </w:p>
        </w:tc>
        <w:tc>
          <w:tcPr>
            <w:tcW w:w="4276" w:type="dxa"/>
          </w:tcPr>
          <w:p w14:paraId="499FFD9A" w14:textId="0D0890B8" w:rsidR="00F848AA" w:rsidRPr="002671E8" w:rsidRDefault="00F848AA" w:rsidP="00A67BF0">
            <w:pPr>
              <w:jc w:val="center"/>
              <w:rPr>
                <w:sz w:val="28"/>
                <w:szCs w:val="28"/>
              </w:rPr>
            </w:pPr>
            <w:r w:rsidRPr="002671E8">
              <w:rPr>
                <w:sz w:val="28"/>
                <w:szCs w:val="28"/>
              </w:rPr>
              <w:t>TSUL</w:t>
            </w:r>
          </w:p>
        </w:tc>
      </w:tr>
      <w:tr w:rsidR="00F848AA" w:rsidRPr="002671E8" w14:paraId="4A186A1D" w14:textId="77777777" w:rsidTr="002671E8">
        <w:tc>
          <w:tcPr>
            <w:tcW w:w="4229" w:type="dxa"/>
          </w:tcPr>
          <w:p w14:paraId="5CA41801" w14:textId="557A4681" w:rsidR="00F848AA" w:rsidRPr="002671E8" w:rsidRDefault="00F848AA" w:rsidP="00F848AA">
            <w:pPr>
              <w:jc w:val="center"/>
              <w:rPr>
                <w:b/>
                <w:bCs/>
                <w:sz w:val="28"/>
                <w:szCs w:val="28"/>
              </w:rPr>
            </w:pPr>
            <w:r w:rsidRPr="002671E8">
              <w:rPr>
                <w:b/>
                <w:bCs/>
                <w:sz w:val="28"/>
                <w:szCs w:val="28"/>
              </w:rPr>
              <w:t>Teaching institution</w:t>
            </w:r>
          </w:p>
        </w:tc>
        <w:tc>
          <w:tcPr>
            <w:tcW w:w="4276" w:type="dxa"/>
          </w:tcPr>
          <w:p w14:paraId="1E39C026" w14:textId="3CCBC2B5" w:rsidR="00F848AA" w:rsidRPr="002671E8" w:rsidRDefault="00F848AA" w:rsidP="00A67BF0">
            <w:pPr>
              <w:jc w:val="center"/>
              <w:rPr>
                <w:sz w:val="28"/>
                <w:szCs w:val="28"/>
              </w:rPr>
            </w:pPr>
            <w:r w:rsidRPr="002671E8">
              <w:rPr>
                <w:sz w:val="28"/>
                <w:szCs w:val="28"/>
              </w:rPr>
              <w:t>TSUL</w:t>
            </w:r>
          </w:p>
        </w:tc>
      </w:tr>
      <w:tr w:rsidR="00F848AA" w:rsidRPr="002671E8" w14:paraId="3AEAD92C" w14:textId="77777777" w:rsidTr="002671E8">
        <w:tc>
          <w:tcPr>
            <w:tcW w:w="4229" w:type="dxa"/>
          </w:tcPr>
          <w:p w14:paraId="03EDDE30" w14:textId="241CEE82" w:rsidR="00F848AA" w:rsidRPr="002671E8" w:rsidRDefault="00F848AA" w:rsidP="00F848AA">
            <w:pPr>
              <w:jc w:val="center"/>
              <w:rPr>
                <w:b/>
                <w:bCs/>
                <w:sz w:val="28"/>
                <w:szCs w:val="28"/>
              </w:rPr>
            </w:pPr>
            <w:r w:rsidRPr="002671E8">
              <w:rPr>
                <w:b/>
                <w:bCs/>
                <w:sz w:val="28"/>
                <w:szCs w:val="28"/>
              </w:rPr>
              <w:t>Regulatory authority</w:t>
            </w:r>
          </w:p>
        </w:tc>
        <w:tc>
          <w:tcPr>
            <w:tcW w:w="4276" w:type="dxa"/>
          </w:tcPr>
          <w:p w14:paraId="6E83022D" w14:textId="77777777" w:rsidR="00C91D56" w:rsidRDefault="00C91D56" w:rsidP="00C91D56">
            <w:pPr>
              <w:jc w:val="center"/>
              <w:rPr>
                <w:bCs/>
                <w:sz w:val="28"/>
                <w:szCs w:val="28"/>
                <w:lang w:val="en-US"/>
              </w:rPr>
            </w:pPr>
            <w:r w:rsidRPr="00A07A6F">
              <w:rPr>
                <w:bCs/>
                <w:sz w:val="28"/>
                <w:szCs w:val="28"/>
                <w:lang w:val="en-US"/>
              </w:rPr>
              <w:t>Ministry of Justice for legal education provisions</w:t>
            </w:r>
            <w:r>
              <w:rPr>
                <w:bCs/>
                <w:sz w:val="28"/>
                <w:szCs w:val="28"/>
                <w:lang w:val="en-US"/>
              </w:rPr>
              <w:t xml:space="preserve"> </w:t>
            </w:r>
          </w:p>
          <w:p w14:paraId="57719195" w14:textId="577751F8" w:rsidR="00F848AA" w:rsidRPr="00C91D56" w:rsidRDefault="00C91D56" w:rsidP="00C91D56">
            <w:pPr>
              <w:jc w:val="center"/>
              <w:rPr>
                <w:sz w:val="28"/>
                <w:szCs w:val="28"/>
                <w:lang w:val="en-US"/>
              </w:rPr>
            </w:pPr>
            <w:r>
              <w:rPr>
                <w:bCs/>
                <w:sz w:val="28"/>
                <w:szCs w:val="28"/>
                <w:lang w:val="en-US"/>
              </w:rPr>
              <w:t xml:space="preserve">Ministry of </w:t>
            </w:r>
            <w:r w:rsidRPr="002671E8">
              <w:rPr>
                <w:bCs/>
                <w:sz w:val="28"/>
                <w:szCs w:val="28"/>
                <w:lang w:val="en-US"/>
              </w:rPr>
              <w:t>Higher Education, Science and Innovation</w:t>
            </w:r>
            <w:r>
              <w:rPr>
                <w:bCs/>
                <w:sz w:val="28"/>
                <w:szCs w:val="28"/>
                <w:lang w:val="en-US"/>
              </w:rPr>
              <w:t xml:space="preserve"> on general degree provisions </w:t>
            </w:r>
          </w:p>
        </w:tc>
      </w:tr>
      <w:tr w:rsidR="00F848AA" w:rsidRPr="002671E8" w14:paraId="1EBBD5B3" w14:textId="77777777" w:rsidTr="002671E8">
        <w:tc>
          <w:tcPr>
            <w:tcW w:w="4229" w:type="dxa"/>
          </w:tcPr>
          <w:p w14:paraId="25ABAA1C" w14:textId="065A653D" w:rsidR="00F848AA" w:rsidRPr="002671E8" w:rsidRDefault="00F848AA" w:rsidP="00F848AA">
            <w:pPr>
              <w:jc w:val="center"/>
              <w:rPr>
                <w:b/>
                <w:bCs/>
                <w:sz w:val="28"/>
                <w:szCs w:val="28"/>
              </w:rPr>
            </w:pPr>
            <w:r w:rsidRPr="002671E8">
              <w:rPr>
                <w:b/>
                <w:bCs/>
                <w:sz w:val="28"/>
                <w:szCs w:val="28"/>
              </w:rPr>
              <w:t>Duration of study</w:t>
            </w:r>
          </w:p>
        </w:tc>
        <w:tc>
          <w:tcPr>
            <w:tcW w:w="4276" w:type="dxa"/>
          </w:tcPr>
          <w:p w14:paraId="45A9CA44" w14:textId="30967220" w:rsidR="00F848AA" w:rsidRPr="002671E8" w:rsidRDefault="00C91D56" w:rsidP="00885694">
            <w:pPr>
              <w:jc w:val="center"/>
              <w:rPr>
                <w:sz w:val="28"/>
                <w:szCs w:val="28"/>
              </w:rPr>
            </w:pPr>
            <w:r w:rsidRPr="002671E8">
              <w:rPr>
                <w:sz w:val="28"/>
                <w:szCs w:val="28"/>
              </w:rPr>
              <w:t>4 years</w:t>
            </w:r>
            <w:r>
              <w:rPr>
                <w:sz w:val="28"/>
                <w:szCs w:val="28"/>
              </w:rPr>
              <w:t xml:space="preserve"> for full-time study</w:t>
            </w:r>
          </w:p>
        </w:tc>
      </w:tr>
      <w:tr w:rsidR="00F848AA" w:rsidRPr="002671E8" w14:paraId="524C0ED1" w14:textId="77777777" w:rsidTr="002671E8">
        <w:tc>
          <w:tcPr>
            <w:tcW w:w="4229" w:type="dxa"/>
          </w:tcPr>
          <w:p w14:paraId="2701EF86" w14:textId="3BC10C3F" w:rsidR="00F848AA" w:rsidRPr="002671E8" w:rsidRDefault="00F848AA" w:rsidP="00F848AA">
            <w:pPr>
              <w:jc w:val="center"/>
              <w:rPr>
                <w:b/>
                <w:bCs/>
                <w:sz w:val="28"/>
                <w:szCs w:val="28"/>
              </w:rPr>
            </w:pPr>
            <w:r w:rsidRPr="002671E8">
              <w:rPr>
                <w:b/>
                <w:bCs/>
                <w:sz w:val="28"/>
                <w:szCs w:val="28"/>
              </w:rPr>
              <w:t>Name of final award</w:t>
            </w:r>
          </w:p>
        </w:tc>
        <w:tc>
          <w:tcPr>
            <w:tcW w:w="4276" w:type="dxa"/>
          </w:tcPr>
          <w:p w14:paraId="104EA3B3" w14:textId="65C7465B" w:rsidR="00F848AA" w:rsidRPr="005F6588" w:rsidRDefault="005F6588" w:rsidP="00A67BF0">
            <w:pPr>
              <w:jc w:val="center"/>
              <w:rPr>
                <w:sz w:val="28"/>
                <w:szCs w:val="28"/>
              </w:rPr>
            </w:pPr>
            <w:r>
              <w:rPr>
                <w:sz w:val="28"/>
                <w:szCs w:val="28"/>
              </w:rPr>
              <w:t>Public Administration</w:t>
            </w:r>
          </w:p>
        </w:tc>
      </w:tr>
      <w:tr w:rsidR="00F848AA" w:rsidRPr="002671E8" w14:paraId="6C9640C2" w14:textId="77777777" w:rsidTr="002671E8">
        <w:tc>
          <w:tcPr>
            <w:tcW w:w="4229" w:type="dxa"/>
          </w:tcPr>
          <w:p w14:paraId="4AE13A7F" w14:textId="1568EBE3" w:rsidR="00F848AA" w:rsidRPr="002671E8" w:rsidRDefault="00F848AA" w:rsidP="00F848AA">
            <w:pPr>
              <w:jc w:val="center"/>
              <w:rPr>
                <w:b/>
                <w:bCs/>
                <w:sz w:val="28"/>
                <w:szCs w:val="28"/>
              </w:rPr>
            </w:pPr>
            <w:r w:rsidRPr="002671E8">
              <w:rPr>
                <w:b/>
                <w:bCs/>
                <w:sz w:val="28"/>
                <w:szCs w:val="28"/>
              </w:rPr>
              <w:t>Programme title</w:t>
            </w:r>
          </w:p>
        </w:tc>
        <w:tc>
          <w:tcPr>
            <w:tcW w:w="4276" w:type="dxa"/>
          </w:tcPr>
          <w:p w14:paraId="3D8DFA6C" w14:textId="7CBAE07A" w:rsidR="00F848AA" w:rsidRPr="002671E8" w:rsidRDefault="001948AC" w:rsidP="00A67BF0">
            <w:pPr>
              <w:jc w:val="center"/>
              <w:rPr>
                <w:sz w:val="28"/>
                <w:szCs w:val="28"/>
              </w:rPr>
            </w:pPr>
            <w:r>
              <w:rPr>
                <w:sz w:val="28"/>
                <w:szCs w:val="28"/>
              </w:rPr>
              <w:t>Public Administration</w:t>
            </w:r>
          </w:p>
        </w:tc>
      </w:tr>
      <w:tr w:rsidR="00F848AA" w:rsidRPr="002671E8" w14:paraId="33525CBA" w14:textId="77777777" w:rsidTr="002671E8">
        <w:tc>
          <w:tcPr>
            <w:tcW w:w="4229" w:type="dxa"/>
          </w:tcPr>
          <w:p w14:paraId="5B3F40EB" w14:textId="33439E8E" w:rsidR="00F848AA" w:rsidRPr="002671E8" w:rsidRDefault="00F848AA" w:rsidP="00F848AA">
            <w:pPr>
              <w:jc w:val="center"/>
              <w:rPr>
                <w:b/>
                <w:bCs/>
                <w:sz w:val="28"/>
                <w:szCs w:val="28"/>
              </w:rPr>
            </w:pPr>
            <w:r w:rsidRPr="002671E8">
              <w:rPr>
                <w:b/>
                <w:bCs/>
                <w:sz w:val="28"/>
                <w:szCs w:val="28"/>
              </w:rPr>
              <w:t>Programme code</w:t>
            </w:r>
          </w:p>
        </w:tc>
        <w:tc>
          <w:tcPr>
            <w:tcW w:w="4276" w:type="dxa"/>
          </w:tcPr>
          <w:p w14:paraId="24AA6DAF" w14:textId="1006254B" w:rsidR="00F848AA" w:rsidRPr="001948AC" w:rsidRDefault="001948AC" w:rsidP="00A67BF0">
            <w:pPr>
              <w:jc w:val="center"/>
              <w:rPr>
                <w:iCs/>
                <w:sz w:val="28"/>
                <w:szCs w:val="28"/>
              </w:rPr>
            </w:pPr>
            <w:r w:rsidRPr="001948AC">
              <w:rPr>
                <w:iCs/>
                <w:sz w:val="28"/>
                <w:szCs w:val="28"/>
                <w:lang w:val="uz-Cyrl-UZ"/>
              </w:rPr>
              <w:t>6042</w:t>
            </w:r>
            <w:r w:rsidRPr="001948AC">
              <w:rPr>
                <w:iCs/>
                <w:sz w:val="28"/>
                <w:szCs w:val="28"/>
                <w:lang w:val="en-US"/>
              </w:rPr>
              <w:t>0</w:t>
            </w:r>
            <w:r w:rsidRPr="001948AC">
              <w:rPr>
                <w:iCs/>
                <w:sz w:val="28"/>
                <w:szCs w:val="28"/>
                <w:lang w:val="uz-Cyrl-UZ"/>
              </w:rPr>
              <w:t>200</w:t>
            </w:r>
            <w:r w:rsidRPr="001948AC">
              <w:rPr>
                <w:iCs/>
                <w:sz w:val="10"/>
                <w:szCs w:val="10"/>
                <w:lang w:val="uz-Cyrl-UZ"/>
              </w:rPr>
              <w:t xml:space="preserve"> </w:t>
            </w:r>
            <w:r w:rsidR="005C182E" w:rsidRPr="001948AC">
              <w:rPr>
                <w:iCs/>
                <w:sz w:val="28"/>
                <w:szCs w:val="28"/>
              </w:rPr>
              <w:t xml:space="preserve"> </w:t>
            </w:r>
          </w:p>
        </w:tc>
      </w:tr>
      <w:tr w:rsidR="00C91D56" w:rsidRPr="002671E8" w14:paraId="0E4EF116" w14:textId="77777777" w:rsidTr="002671E8">
        <w:tc>
          <w:tcPr>
            <w:tcW w:w="4229" w:type="dxa"/>
          </w:tcPr>
          <w:p w14:paraId="79BC0EB4" w14:textId="1EC7D0FC" w:rsidR="00C91D56" w:rsidRPr="002671E8" w:rsidRDefault="00C91D56" w:rsidP="00C91D56">
            <w:pPr>
              <w:jc w:val="center"/>
              <w:rPr>
                <w:b/>
                <w:bCs/>
                <w:sz w:val="28"/>
                <w:szCs w:val="28"/>
              </w:rPr>
            </w:pPr>
            <w:r>
              <w:rPr>
                <w:b/>
                <w:bCs/>
                <w:sz w:val="28"/>
                <w:szCs w:val="28"/>
              </w:rPr>
              <w:t>Applicable national</w:t>
            </w:r>
            <w:r w:rsidRPr="002671E8">
              <w:rPr>
                <w:b/>
                <w:bCs/>
                <w:sz w:val="28"/>
                <w:szCs w:val="28"/>
              </w:rPr>
              <w:t xml:space="preserve"> </w:t>
            </w:r>
            <w:r>
              <w:rPr>
                <w:b/>
                <w:bCs/>
                <w:sz w:val="28"/>
                <w:szCs w:val="28"/>
              </w:rPr>
              <w:t>qualification</w:t>
            </w:r>
            <w:r w:rsidR="00885694">
              <w:rPr>
                <w:b/>
                <w:bCs/>
                <w:sz w:val="28"/>
                <w:szCs w:val="28"/>
              </w:rPr>
              <w:t>s</w:t>
            </w:r>
            <w:r>
              <w:rPr>
                <w:b/>
                <w:bCs/>
                <w:sz w:val="28"/>
                <w:szCs w:val="28"/>
              </w:rPr>
              <w:t xml:space="preserve"> framework</w:t>
            </w:r>
            <w:r w:rsidRPr="002671E8">
              <w:rPr>
                <w:b/>
                <w:bCs/>
                <w:sz w:val="28"/>
                <w:szCs w:val="28"/>
              </w:rPr>
              <w:t xml:space="preserve"> </w:t>
            </w:r>
          </w:p>
        </w:tc>
        <w:tc>
          <w:tcPr>
            <w:tcW w:w="4276" w:type="dxa"/>
          </w:tcPr>
          <w:p w14:paraId="3E8D0601" w14:textId="545916D0" w:rsidR="00C91D56" w:rsidRPr="002671E8" w:rsidRDefault="00C91D56" w:rsidP="00C91D56">
            <w:pPr>
              <w:jc w:val="center"/>
              <w:rPr>
                <w:sz w:val="28"/>
                <w:szCs w:val="28"/>
              </w:rPr>
            </w:pPr>
            <w:r>
              <w:rPr>
                <w:sz w:val="28"/>
                <w:szCs w:val="28"/>
              </w:rPr>
              <w:t>National Qualification</w:t>
            </w:r>
            <w:r w:rsidR="00A07A6F">
              <w:rPr>
                <w:sz w:val="28"/>
                <w:szCs w:val="28"/>
              </w:rPr>
              <w:t>s</w:t>
            </w:r>
            <w:r>
              <w:rPr>
                <w:sz w:val="28"/>
                <w:szCs w:val="28"/>
              </w:rPr>
              <w:t xml:space="preserve"> Framework of Uzbekistan</w:t>
            </w:r>
            <w:r w:rsidR="007F1B4B">
              <w:rPr>
                <w:sz w:val="28"/>
                <w:szCs w:val="28"/>
              </w:rPr>
              <w:t xml:space="preserve"> 6</w:t>
            </w:r>
          </w:p>
        </w:tc>
      </w:tr>
      <w:tr w:rsidR="00C91D56" w:rsidRPr="002671E8" w14:paraId="5C433D39" w14:textId="77777777" w:rsidTr="002671E8">
        <w:tc>
          <w:tcPr>
            <w:tcW w:w="4229" w:type="dxa"/>
          </w:tcPr>
          <w:p w14:paraId="05839982" w14:textId="23841FE1" w:rsidR="00C91D56" w:rsidRPr="002671E8" w:rsidRDefault="00C91D56" w:rsidP="00C91D56">
            <w:pPr>
              <w:jc w:val="center"/>
              <w:rPr>
                <w:b/>
                <w:bCs/>
                <w:sz w:val="28"/>
                <w:szCs w:val="28"/>
              </w:rPr>
            </w:pPr>
            <w:r>
              <w:rPr>
                <w:b/>
                <w:bCs/>
                <w:sz w:val="28"/>
                <w:szCs w:val="28"/>
              </w:rPr>
              <w:t>Other relevant q</w:t>
            </w:r>
            <w:r w:rsidRPr="002671E8">
              <w:rPr>
                <w:b/>
                <w:bCs/>
                <w:sz w:val="28"/>
                <w:szCs w:val="28"/>
              </w:rPr>
              <w:t>ualificatio</w:t>
            </w:r>
            <w:r w:rsidR="00885694">
              <w:rPr>
                <w:b/>
                <w:bCs/>
                <w:sz w:val="28"/>
                <w:szCs w:val="28"/>
              </w:rPr>
              <w:t>ns</w:t>
            </w:r>
            <w:r w:rsidRPr="002671E8">
              <w:rPr>
                <w:b/>
                <w:bCs/>
                <w:sz w:val="28"/>
                <w:szCs w:val="28"/>
              </w:rPr>
              <w:t xml:space="preserve"> framework</w:t>
            </w:r>
            <w:r>
              <w:rPr>
                <w:b/>
                <w:bCs/>
                <w:sz w:val="28"/>
                <w:szCs w:val="28"/>
              </w:rPr>
              <w:t>s</w:t>
            </w:r>
            <w:r w:rsidRPr="002671E8">
              <w:rPr>
                <w:b/>
                <w:bCs/>
                <w:sz w:val="28"/>
                <w:szCs w:val="28"/>
              </w:rPr>
              <w:t xml:space="preserve"> </w:t>
            </w:r>
          </w:p>
        </w:tc>
        <w:tc>
          <w:tcPr>
            <w:tcW w:w="4276" w:type="dxa"/>
          </w:tcPr>
          <w:p w14:paraId="24A4D2C4" w14:textId="0EA0D69C" w:rsidR="00C91D56" w:rsidRPr="002671E8" w:rsidRDefault="00C91D56" w:rsidP="00C91D56">
            <w:pPr>
              <w:jc w:val="center"/>
              <w:rPr>
                <w:sz w:val="28"/>
                <w:szCs w:val="28"/>
              </w:rPr>
            </w:pPr>
            <w:r w:rsidRPr="002671E8">
              <w:rPr>
                <w:sz w:val="28"/>
                <w:szCs w:val="28"/>
              </w:rPr>
              <w:t>European Qualifications Framework (EQF) Level 6</w:t>
            </w:r>
          </w:p>
        </w:tc>
      </w:tr>
      <w:tr w:rsidR="00F848AA" w:rsidRPr="002671E8" w14:paraId="6A6D0697" w14:textId="77777777" w:rsidTr="002671E8">
        <w:tc>
          <w:tcPr>
            <w:tcW w:w="4229" w:type="dxa"/>
          </w:tcPr>
          <w:p w14:paraId="370564A9" w14:textId="2C1835EF" w:rsidR="00F848AA" w:rsidRPr="002671E8" w:rsidRDefault="008777AA" w:rsidP="00F848AA">
            <w:pPr>
              <w:jc w:val="center"/>
              <w:rPr>
                <w:b/>
                <w:bCs/>
                <w:sz w:val="28"/>
                <w:szCs w:val="28"/>
              </w:rPr>
            </w:pPr>
            <w:r w:rsidRPr="00B96AE3">
              <w:rPr>
                <w:b/>
                <w:bCs/>
                <w:sz w:val="28"/>
                <w:szCs w:val="28"/>
              </w:rPr>
              <w:t xml:space="preserve">Date specification </w:t>
            </w:r>
            <w:r>
              <w:rPr>
                <w:b/>
                <w:bCs/>
                <w:sz w:val="28"/>
                <w:szCs w:val="28"/>
              </w:rPr>
              <w:t>approved by University Council</w:t>
            </w:r>
            <w:bookmarkStart w:id="0" w:name="_GoBack"/>
            <w:bookmarkEnd w:id="0"/>
          </w:p>
        </w:tc>
        <w:tc>
          <w:tcPr>
            <w:tcW w:w="4276" w:type="dxa"/>
          </w:tcPr>
          <w:p w14:paraId="64F37219" w14:textId="2F39B81E" w:rsidR="00F848AA" w:rsidRPr="002671E8" w:rsidRDefault="007F1B4B" w:rsidP="007F1B4B">
            <w:pPr>
              <w:jc w:val="center"/>
              <w:rPr>
                <w:sz w:val="28"/>
                <w:szCs w:val="28"/>
              </w:rPr>
            </w:pPr>
            <w:r>
              <w:rPr>
                <w:sz w:val="28"/>
                <w:szCs w:val="28"/>
              </w:rPr>
              <w:t>August</w:t>
            </w:r>
            <w:r w:rsidR="002671E8" w:rsidRPr="002671E8">
              <w:rPr>
                <w:sz w:val="28"/>
                <w:szCs w:val="28"/>
              </w:rPr>
              <w:t xml:space="preserve"> 202</w:t>
            </w:r>
            <w:r>
              <w:rPr>
                <w:sz w:val="28"/>
                <w:szCs w:val="28"/>
              </w:rPr>
              <w:t>4</w:t>
            </w:r>
            <w:r w:rsidR="005C182E">
              <w:rPr>
                <w:sz w:val="28"/>
                <w:szCs w:val="28"/>
              </w:rPr>
              <w:t xml:space="preserve"> </w:t>
            </w:r>
          </w:p>
        </w:tc>
      </w:tr>
    </w:tbl>
    <w:p w14:paraId="5F0685DA" w14:textId="236BC8C1" w:rsidR="00F848AA" w:rsidRPr="002671E8" w:rsidRDefault="00F848AA" w:rsidP="00A67BF0">
      <w:pPr>
        <w:jc w:val="center"/>
        <w:rPr>
          <w:b/>
          <w:bCs/>
          <w:sz w:val="28"/>
          <w:szCs w:val="28"/>
        </w:rPr>
      </w:pPr>
    </w:p>
    <w:p w14:paraId="0E5FF07A" w14:textId="77777777" w:rsidR="00A67BF0" w:rsidRDefault="00A67BF0">
      <w:pPr>
        <w:rPr>
          <w:b/>
          <w:bCs/>
          <w:sz w:val="24"/>
          <w:szCs w:val="24"/>
        </w:rPr>
      </w:pPr>
      <w:r>
        <w:rPr>
          <w:b/>
          <w:bCs/>
          <w:sz w:val="24"/>
          <w:szCs w:val="24"/>
        </w:rPr>
        <w:t>Introduction</w:t>
      </w:r>
    </w:p>
    <w:p w14:paraId="49A77A5D" w14:textId="005EA275" w:rsidR="005F6588" w:rsidRDefault="00A67BF0" w:rsidP="005F6588">
      <w:pPr>
        <w:jc w:val="both"/>
        <w:rPr>
          <w:sz w:val="24"/>
          <w:szCs w:val="24"/>
        </w:rPr>
      </w:pPr>
      <w:r>
        <w:rPr>
          <w:sz w:val="24"/>
          <w:szCs w:val="24"/>
        </w:rPr>
        <w:t xml:space="preserve">This programme specification covers </w:t>
      </w:r>
      <w:r w:rsidR="001948AC">
        <w:rPr>
          <w:sz w:val="24"/>
          <w:szCs w:val="24"/>
        </w:rPr>
        <w:t>the</w:t>
      </w:r>
      <w:r>
        <w:rPr>
          <w:sz w:val="24"/>
          <w:szCs w:val="24"/>
        </w:rPr>
        <w:t xml:space="preserve"> Bachelor’s programme in </w:t>
      </w:r>
      <w:r w:rsidR="001948AC">
        <w:rPr>
          <w:sz w:val="24"/>
          <w:szCs w:val="24"/>
        </w:rPr>
        <w:t>Public Administration</w:t>
      </w:r>
      <w:r>
        <w:rPr>
          <w:sz w:val="24"/>
          <w:szCs w:val="24"/>
        </w:rPr>
        <w:t xml:space="preserve"> at TSUL. </w:t>
      </w:r>
      <w:r w:rsidR="005F6588">
        <w:rPr>
          <w:sz w:val="24"/>
          <w:szCs w:val="24"/>
        </w:rPr>
        <w:t xml:space="preserve">The detail contained in this document sets out the overall educational aims and learning outcomes expected of a student who successfully graduates in Public </w:t>
      </w:r>
      <w:r w:rsidR="00C91D56">
        <w:rPr>
          <w:sz w:val="24"/>
          <w:szCs w:val="24"/>
        </w:rPr>
        <w:t>Administration</w:t>
      </w:r>
      <w:r w:rsidR="005F6588">
        <w:rPr>
          <w:sz w:val="24"/>
          <w:szCs w:val="24"/>
        </w:rPr>
        <w:t xml:space="preserve"> from TSUL. The specification also contains </w:t>
      </w:r>
      <w:r w:rsidR="00C91D56">
        <w:rPr>
          <w:sz w:val="24"/>
          <w:szCs w:val="24"/>
        </w:rPr>
        <w:t>information about</w:t>
      </w:r>
      <w:r w:rsidR="005F6588">
        <w:rPr>
          <w:sz w:val="24"/>
          <w:szCs w:val="24"/>
        </w:rPr>
        <w:t xml:space="preserve"> accreditation </w:t>
      </w:r>
      <w:r w:rsidR="00C91D56">
        <w:rPr>
          <w:sz w:val="24"/>
          <w:szCs w:val="24"/>
        </w:rPr>
        <w:t>of the programme</w:t>
      </w:r>
      <w:r w:rsidR="005F6588">
        <w:rPr>
          <w:sz w:val="24"/>
          <w:szCs w:val="24"/>
        </w:rPr>
        <w:t>, the admission requirements for study</w:t>
      </w:r>
      <w:r w:rsidR="00C91D56">
        <w:rPr>
          <w:sz w:val="24"/>
          <w:szCs w:val="24"/>
        </w:rPr>
        <w:t>,</w:t>
      </w:r>
      <w:r w:rsidR="005F6588">
        <w:rPr>
          <w:sz w:val="24"/>
          <w:szCs w:val="24"/>
        </w:rPr>
        <w:t xml:space="preserve"> learning and teaching strategies implemented at TSUL, the assessment methods used and criteria followed, what students can expect in terms of support, how quality assurance is monitored and how appropriate standards are maintained and enhanced. </w:t>
      </w:r>
    </w:p>
    <w:p w14:paraId="23BD9DD7" w14:textId="77777777" w:rsidR="00560454" w:rsidRDefault="00560454">
      <w:pPr>
        <w:rPr>
          <w:b/>
          <w:bCs/>
          <w:sz w:val="24"/>
          <w:szCs w:val="24"/>
        </w:rPr>
      </w:pPr>
    </w:p>
    <w:p w14:paraId="3624AF88" w14:textId="32FCB522" w:rsidR="00A67BF0" w:rsidRDefault="00A67BF0">
      <w:pPr>
        <w:rPr>
          <w:b/>
          <w:bCs/>
          <w:sz w:val="24"/>
          <w:szCs w:val="24"/>
        </w:rPr>
      </w:pPr>
      <w:r w:rsidRPr="00A67BF0">
        <w:rPr>
          <w:b/>
          <w:bCs/>
          <w:sz w:val="24"/>
          <w:szCs w:val="24"/>
        </w:rPr>
        <w:lastRenderedPageBreak/>
        <w:t xml:space="preserve">Programme title and awards </w:t>
      </w:r>
    </w:p>
    <w:p w14:paraId="41DD7F9E" w14:textId="7E175501" w:rsidR="000E3C24" w:rsidRPr="00C90F7F" w:rsidRDefault="001948AC" w:rsidP="007D590F">
      <w:pPr>
        <w:rPr>
          <w:rFonts w:cstheme="minorHAnsi"/>
          <w:sz w:val="24"/>
          <w:szCs w:val="24"/>
          <w:lang w:val="en-US"/>
        </w:rPr>
      </w:pPr>
      <w:r w:rsidRPr="005F6588">
        <w:rPr>
          <w:iCs/>
          <w:sz w:val="24"/>
          <w:szCs w:val="24"/>
          <w:lang w:val="uz-Cyrl-UZ"/>
        </w:rPr>
        <w:t>6042</w:t>
      </w:r>
      <w:r w:rsidRPr="005F6588">
        <w:rPr>
          <w:iCs/>
          <w:sz w:val="24"/>
          <w:szCs w:val="24"/>
          <w:lang w:val="en-US"/>
        </w:rPr>
        <w:t>0</w:t>
      </w:r>
      <w:r w:rsidRPr="005F6588">
        <w:rPr>
          <w:iCs/>
          <w:sz w:val="24"/>
          <w:szCs w:val="24"/>
          <w:lang w:val="uz-Cyrl-UZ"/>
        </w:rPr>
        <w:t>200</w:t>
      </w:r>
      <w:r w:rsidRPr="005F6588">
        <w:rPr>
          <w:iCs/>
          <w:sz w:val="24"/>
          <w:szCs w:val="24"/>
        </w:rPr>
        <w:t xml:space="preserve"> Public Administration</w:t>
      </w:r>
    </w:p>
    <w:p w14:paraId="7105B71F" w14:textId="312A13AB" w:rsidR="007D590F" w:rsidRPr="00667BAB" w:rsidRDefault="007D590F" w:rsidP="007D590F">
      <w:pPr>
        <w:jc w:val="both"/>
        <w:rPr>
          <w:sz w:val="24"/>
          <w:szCs w:val="24"/>
          <w:lang w:val="uz-Latn-UZ"/>
        </w:rPr>
      </w:pPr>
      <w:r w:rsidRPr="0038171F">
        <w:rPr>
          <w:sz w:val="24"/>
          <w:szCs w:val="24"/>
          <w:lang w:val="uz-Latn-UZ"/>
        </w:rPr>
        <w:t xml:space="preserve">Public Admistration program </w:t>
      </w:r>
      <w:r w:rsidR="0038171F" w:rsidRPr="0038171F">
        <w:rPr>
          <w:sz w:val="24"/>
          <w:szCs w:val="24"/>
          <w:lang w:val="uz-Latn-UZ"/>
        </w:rPr>
        <w:t>aims to produce</w:t>
      </w:r>
      <w:r w:rsidRPr="0038171F">
        <w:rPr>
          <w:sz w:val="24"/>
          <w:szCs w:val="24"/>
          <w:lang w:val="uz-Latn-UZ"/>
        </w:rPr>
        <w:t xml:space="preserve"> </w:t>
      </w:r>
      <w:r w:rsidR="0038171F" w:rsidRPr="0038171F">
        <w:rPr>
          <w:sz w:val="24"/>
          <w:szCs w:val="24"/>
          <w:lang w:val="uz-Latn-UZ"/>
        </w:rPr>
        <w:t xml:space="preserve">future </w:t>
      </w:r>
      <w:r w:rsidRPr="0038171F">
        <w:rPr>
          <w:sz w:val="24"/>
          <w:szCs w:val="24"/>
          <w:lang w:val="uz-Latn-UZ"/>
        </w:rPr>
        <w:t xml:space="preserve">managers in public administration. Students gain basic knowledge and skills related to E-Government, E-Management, State Civil Service, Political Science and State Policy and Macro and Micro Economics. This program is </w:t>
      </w:r>
      <w:r w:rsidR="0038171F" w:rsidRPr="0038171F">
        <w:rPr>
          <w:sz w:val="24"/>
          <w:szCs w:val="24"/>
          <w:lang w:val="uz-Latn-UZ"/>
        </w:rPr>
        <w:t>designed</w:t>
      </w:r>
      <w:r w:rsidRPr="0038171F">
        <w:rPr>
          <w:sz w:val="24"/>
          <w:szCs w:val="24"/>
          <w:lang w:val="uz-Latn-UZ"/>
        </w:rPr>
        <w:t xml:space="preserve"> for those who wish to pursue a career in </w:t>
      </w:r>
      <w:r w:rsidR="0038171F" w:rsidRPr="0038171F">
        <w:rPr>
          <w:sz w:val="24"/>
          <w:szCs w:val="24"/>
          <w:lang w:val="uz-Latn-UZ"/>
        </w:rPr>
        <w:t xml:space="preserve">the </w:t>
      </w:r>
      <w:r w:rsidRPr="0038171F">
        <w:rPr>
          <w:sz w:val="24"/>
          <w:szCs w:val="24"/>
          <w:lang w:val="uz-Latn-UZ"/>
        </w:rPr>
        <w:t xml:space="preserve">public and private sectors (ministries, committees, local government, </w:t>
      </w:r>
      <w:r w:rsidR="0038171F" w:rsidRPr="0038171F">
        <w:rPr>
          <w:sz w:val="24"/>
          <w:szCs w:val="24"/>
          <w:lang w:val="uz-Latn-UZ"/>
        </w:rPr>
        <w:t xml:space="preserve">agency for </w:t>
      </w:r>
      <w:r w:rsidRPr="0038171F">
        <w:rPr>
          <w:sz w:val="24"/>
          <w:szCs w:val="24"/>
          <w:lang w:val="uz-Latn-UZ"/>
        </w:rPr>
        <w:t xml:space="preserve">public services development), public structures (political parties, non-governmental and non-profit organizations), as well as in </w:t>
      </w:r>
      <w:r w:rsidR="0038171F">
        <w:rPr>
          <w:sz w:val="24"/>
          <w:szCs w:val="24"/>
          <w:lang w:val="uz-Latn-UZ"/>
        </w:rPr>
        <w:t xml:space="preserve">other </w:t>
      </w:r>
      <w:r w:rsidRPr="0038171F">
        <w:rPr>
          <w:sz w:val="24"/>
          <w:szCs w:val="24"/>
          <w:lang w:val="uz-Latn-UZ"/>
        </w:rPr>
        <w:t>public service organizations.</w:t>
      </w:r>
      <w:r w:rsidRPr="00667BAB">
        <w:rPr>
          <w:sz w:val="24"/>
          <w:szCs w:val="24"/>
          <w:lang w:val="uz-Latn-UZ"/>
        </w:rPr>
        <w:t xml:space="preserve"> </w:t>
      </w:r>
    </w:p>
    <w:p w14:paraId="553C8882" w14:textId="77777777" w:rsidR="00560454" w:rsidRPr="007D590F" w:rsidRDefault="00560454" w:rsidP="00A07A6F">
      <w:pPr>
        <w:rPr>
          <w:b/>
          <w:bCs/>
          <w:sz w:val="24"/>
          <w:szCs w:val="24"/>
          <w:lang w:val="uz-Latn-UZ"/>
        </w:rPr>
      </w:pPr>
    </w:p>
    <w:p w14:paraId="468257B5" w14:textId="3C5CF555" w:rsidR="00A07A6F" w:rsidRPr="00AD0642" w:rsidRDefault="00A07A6F" w:rsidP="00A07A6F">
      <w:pPr>
        <w:rPr>
          <w:b/>
          <w:bCs/>
          <w:sz w:val="24"/>
          <w:szCs w:val="24"/>
        </w:rPr>
      </w:pPr>
      <w:r w:rsidRPr="00AD0642">
        <w:rPr>
          <w:b/>
          <w:bCs/>
          <w:sz w:val="24"/>
          <w:szCs w:val="24"/>
        </w:rPr>
        <w:t>Accreditation</w:t>
      </w:r>
    </w:p>
    <w:p w14:paraId="116B9CFD" w14:textId="4201D862" w:rsidR="00A07A6F" w:rsidRDefault="00A07A6F" w:rsidP="00A07A6F">
      <w:pPr>
        <w:spacing w:line="276" w:lineRule="auto"/>
        <w:jc w:val="both"/>
        <w:rPr>
          <w:sz w:val="24"/>
          <w:szCs w:val="24"/>
        </w:rPr>
      </w:pPr>
      <w:r>
        <w:rPr>
          <w:sz w:val="24"/>
          <w:szCs w:val="24"/>
        </w:rPr>
        <w:t>This</w:t>
      </w:r>
      <w:r w:rsidR="00885694">
        <w:rPr>
          <w:sz w:val="24"/>
          <w:szCs w:val="24"/>
        </w:rPr>
        <w:t xml:space="preserve"> </w:t>
      </w:r>
      <w:r>
        <w:rPr>
          <w:sz w:val="24"/>
          <w:szCs w:val="24"/>
        </w:rPr>
        <w:t xml:space="preserve">programme has been accredited by the </w:t>
      </w:r>
      <w:r w:rsidRPr="00AD0642">
        <w:rPr>
          <w:sz w:val="24"/>
          <w:szCs w:val="24"/>
        </w:rPr>
        <w:t>Ministry of Higher Education, Science and Innovation</w:t>
      </w:r>
      <w:r>
        <w:rPr>
          <w:sz w:val="24"/>
          <w:szCs w:val="24"/>
        </w:rPr>
        <w:t xml:space="preserve">. This means that the Public Administration programme complies with the </w:t>
      </w:r>
      <w:r w:rsidRPr="00AD0642">
        <w:rPr>
          <w:sz w:val="24"/>
          <w:szCs w:val="24"/>
          <w:lang w:val="uz-Cyrl-UZ"/>
        </w:rPr>
        <w:t xml:space="preserve">National </w:t>
      </w:r>
      <w:r>
        <w:rPr>
          <w:sz w:val="24"/>
          <w:szCs w:val="24"/>
        </w:rPr>
        <w:t xml:space="preserve">(Uzbek) </w:t>
      </w:r>
      <w:r w:rsidRPr="00AD0642">
        <w:rPr>
          <w:sz w:val="24"/>
          <w:szCs w:val="24"/>
          <w:lang w:val="uz-Cyrl-UZ"/>
        </w:rPr>
        <w:t>Qualifications Framework</w:t>
      </w:r>
      <w:r w:rsidR="00885694">
        <w:rPr>
          <w:sz w:val="24"/>
          <w:szCs w:val="24"/>
        </w:rPr>
        <w:t xml:space="preserve"> </w:t>
      </w:r>
      <w:r>
        <w:rPr>
          <w:sz w:val="24"/>
          <w:szCs w:val="24"/>
        </w:rPr>
        <w:t xml:space="preserve">and related quality requirements and provisions. The programme is subject to the national cyclical accreditation process, every 5 years. </w:t>
      </w:r>
    </w:p>
    <w:p w14:paraId="56DC8C89" w14:textId="77777777" w:rsidR="00560454" w:rsidRDefault="00560454" w:rsidP="00A07A6F">
      <w:pPr>
        <w:rPr>
          <w:rFonts w:cstheme="minorHAnsi"/>
          <w:b/>
          <w:bCs/>
          <w:sz w:val="24"/>
          <w:szCs w:val="24"/>
        </w:rPr>
      </w:pPr>
    </w:p>
    <w:p w14:paraId="68724E67" w14:textId="0E4DB9C6" w:rsidR="00A07A6F" w:rsidRDefault="00A07A6F" w:rsidP="00A07A6F">
      <w:pPr>
        <w:rPr>
          <w:rFonts w:cstheme="minorHAnsi"/>
          <w:b/>
          <w:bCs/>
          <w:sz w:val="24"/>
          <w:szCs w:val="24"/>
        </w:rPr>
      </w:pPr>
      <w:r w:rsidRPr="00571774">
        <w:rPr>
          <w:rFonts w:cstheme="minorHAnsi"/>
          <w:b/>
          <w:bCs/>
          <w:sz w:val="24"/>
          <w:szCs w:val="24"/>
        </w:rPr>
        <w:t>Admission requirements</w:t>
      </w:r>
      <w:r>
        <w:rPr>
          <w:rFonts w:cstheme="minorHAnsi"/>
          <w:b/>
          <w:bCs/>
          <w:sz w:val="24"/>
          <w:szCs w:val="24"/>
        </w:rPr>
        <w:t xml:space="preserve"> for the </w:t>
      </w:r>
      <w:r w:rsidRPr="00571774">
        <w:rPr>
          <w:rFonts w:cstheme="minorHAnsi"/>
          <w:b/>
          <w:bCs/>
          <w:sz w:val="24"/>
          <w:szCs w:val="24"/>
        </w:rPr>
        <w:t>programm</w:t>
      </w:r>
      <w:r>
        <w:rPr>
          <w:rFonts w:cstheme="minorHAnsi"/>
          <w:b/>
          <w:bCs/>
          <w:sz w:val="24"/>
          <w:szCs w:val="24"/>
        </w:rPr>
        <w:t>e</w:t>
      </w:r>
    </w:p>
    <w:p w14:paraId="0436C3FA" w14:textId="1123E18E" w:rsidR="00A07A6F" w:rsidRPr="00F854AC" w:rsidRDefault="00A07A6F" w:rsidP="00A07A6F">
      <w:pPr>
        <w:jc w:val="both"/>
        <w:rPr>
          <w:sz w:val="24"/>
          <w:szCs w:val="24"/>
        </w:rPr>
      </w:pPr>
      <w:r w:rsidRPr="00F854AC">
        <w:rPr>
          <w:sz w:val="24"/>
          <w:szCs w:val="24"/>
        </w:rPr>
        <w:t>University applicants must apply for admission to the program</w:t>
      </w:r>
      <w:r>
        <w:rPr>
          <w:sz w:val="24"/>
          <w:szCs w:val="24"/>
        </w:rPr>
        <w:t>me</w:t>
      </w:r>
      <w:r w:rsidRPr="00F854AC">
        <w:rPr>
          <w:sz w:val="24"/>
          <w:szCs w:val="24"/>
        </w:rPr>
        <w:t xml:space="preserve"> at the State Services Centre, through the </w:t>
      </w:r>
      <w:r>
        <w:rPr>
          <w:sz w:val="24"/>
          <w:szCs w:val="24"/>
        </w:rPr>
        <w:t>p</w:t>
      </w:r>
      <w:r w:rsidRPr="00F854AC">
        <w:rPr>
          <w:sz w:val="24"/>
          <w:szCs w:val="24"/>
        </w:rPr>
        <w:t xml:space="preserve">ortal of Interactive State Services or </w:t>
      </w:r>
      <w:r>
        <w:rPr>
          <w:sz w:val="24"/>
          <w:szCs w:val="24"/>
        </w:rPr>
        <w:t xml:space="preserve">via </w:t>
      </w:r>
      <w:r w:rsidRPr="00F854AC">
        <w:rPr>
          <w:sz w:val="24"/>
          <w:szCs w:val="24"/>
        </w:rPr>
        <w:t>the website of the Agency for Assessment of Knowledge and Competences under the Ministry of Higher Education, Science</w:t>
      </w:r>
      <w:r>
        <w:rPr>
          <w:sz w:val="24"/>
          <w:szCs w:val="24"/>
        </w:rPr>
        <w:t>.</w:t>
      </w:r>
    </w:p>
    <w:p w14:paraId="4408F947" w14:textId="719ED224" w:rsidR="00A07A6F" w:rsidRDefault="00A07A6F" w:rsidP="00A07A6F">
      <w:pPr>
        <w:jc w:val="both"/>
        <w:rPr>
          <w:sz w:val="24"/>
          <w:szCs w:val="24"/>
        </w:rPr>
      </w:pPr>
      <w:r w:rsidRPr="00127110">
        <w:rPr>
          <w:sz w:val="24"/>
          <w:szCs w:val="24"/>
        </w:rPr>
        <w:t xml:space="preserve">The applicants must then sit </w:t>
      </w:r>
      <w:r>
        <w:rPr>
          <w:sz w:val="24"/>
          <w:szCs w:val="24"/>
        </w:rPr>
        <w:t xml:space="preserve">entrance </w:t>
      </w:r>
      <w:r w:rsidRPr="00127110">
        <w:rPr>
          <w:sz w:val="24"/>
          <w:szCs w:val="24"/>
        </w:rPr>
        <w:t>examination</w:t>
      </w:r>
      <w:r>
        <w:rPr>
          <w:sz w:val="24"/>
          <w:szCs w:val="24"/>
        </w:rPr>
        <w:t xml:space="preserve">s in </w:t>
      </w:r>
      <w:r w:rsidR="001D11A1">
        <w:rPr>
          <w:sz w:val="24"/>
          <w:szCs w:val="24"/>
        </w:rPr>
        <w:t>History,</w:t>
      </w:r>
      <w:r>
        <w:rPr>
          <w:sz w:val="24"/>
          <w:szCs w:val="24"/>
        </w:rPr>
        <w:t xml:space="preserve"> a foreign language (other than Uzbek or Russian), </w:t>
      </w:r>
      <w:r w:rsidR="001D11A1">
        <w:rPr>
          <w:sz w:val="24"/>
          <w:szCs w:val="24"/>
        </w:rPr>
        <w:t>H</w:t>
      </w:r>
      <w:r>
        <w:rPr>
          <w:sz w:val="24"/>
          <w:szCs w:val="24"/>
        </w:rPr>
        <w:t xml:space="preserve">istory of Uzbekistan, the Uzbek or Russian Language, and </w:t>
      </w:r>
      <w:r w:rsidR="001D11A1">
        <w:rPr>
          <w:sz w:val="24"/>
          <w:szCs w:val="24"/>
        </w:rPr>
        <w:t>M</w:t>
      </w:r>
      <w:r>
        <w:rPr>
          <w:sz w:val="24"/>
          <w:szCs w:val="24"/>
        </w:rPr>
        <w:t>athematics. T</w:t>
      </w:r>
      <w:r w:rsidRPr="00127110">
        <w:rPr>
          <w:rFonts w:cstheme="minorHAnsi"/>
          <w:sz w:val="24"/>
          <w:szCs w:val="24"/>
        </w:rPr>
        <w:t>he Agency for Assessment of Knowledge and Competences</w:t>
      </w:r>
      <w:r>
        <w:rPr>
          <w:rFonts w:cstheme="minorHAnsi"/>
          <w:sz w:val="24"/>
          <w:szCs w:val="24"/>
        </w:rPr>
        <w:t xml:space="preserve"> sets and </w:t>
      </w:r>
      <w:r>
        <w:rPr>
          <w:sz w:val="24"/>
          <w:szCs w:val="24"/>
        </w:rPr>
        <w:t xml:space="preserve">administers the examinations. The State Commission for Admission to Education Institutions makes a decision about admission based on the examination results. </w:t>
      </w:r>
    </w:p>
    <w:p w14:paraId="2750001F" w14:textId="034F1AEC" w:rsidR="00A07A6F" w:rsidRDefault="00A07A6F" w:rsidP="00A07A6F">
      <w:pPr>
        <w:jc w:val="both"/>
        <w:rPr>
          <w:sz w:val="24"/>
          <w:szCs w:val="24"/>
        </w:rPr>
      </w:pPr>
      <w:r>
        <w:rPr>
          <w:sz w:val="24"/>
          <w:szCs w:val="24"/>
        </w:rPr>
        <w:t xml:space="preserve">Further details can be obtained at: </w:t>
      </w:r>
      <w:hyperlink r:id="rId8" w:history="1">
        <w:r w:rsidRPr="003923AA">
          <w:rPr>
            <w:rStyle w:val="ac"/>
            <w:sz w:val="24"/>
            <w:szCs w:val="24"/>
          </w:rPr>
          <w:t>https://lex.uz/docs/-3244181</w:t>
        </w:r>
      </w:hyperlink>
      <w:r>
        <w:rPr>
          <w:sz w:val="24"/>
          <w:szCs w:val="24"/>
        </w:rPr>
        <w:t xml:space="preserve"> (Regulation of admission to the undergraduate programmes of the higher education institutions by the Cabinet of Ministers, dated June 20</w:t>
      </w:r>
      <w:r w:rsidR="007D590F">
        <w:rPr>
          <w:sz w:val="24"/>
          <w:szCs w:val="24"/>
        </w:rPr>
        <w:t>,</w:t>
      </w:r>
      <w:r>
        <w:rPr>
          <w:sz w:val="24"/>
          <w:szCs w:val="24"/>
        </w:rPr>
        <w:t xml:space="preserve"> 2017)</w:t>
      </w:r>
    </w:p>
    <w:p w14:paraId="694C6C02" w14:textId="77777777" w:rsidR="00560454" w:rsidRDefault="00560454" w:rsidP="00A07A6F">
      <w:pPr>
        <w:rPr>
          <w:b/>
          <w:bCs/>
          <w:sz w:val="24"/>
          <w:szCs w:val="24"/>
        </w:rPr>
      </w:pPr>
    </w:p>
    <w:p w14:paraId="46FC4A41" w14:textId="66085908" w:rsidR="00A07A6F" w:rsidRDefault="00A07A6F" w:rsidP="00A07A6F">
      <w:pPr>
        <w:rPr>
          <w:b/>
          <w:bCs/>
          <w:sz w:val="24"/>
          <w:szCs w:val="24"/>
        </w:rPr>
      </w:pPr>
      <w:r w:rsidRPr="00A67BF0">
        <w:rPr>
          <w:b/>
          <w:bCs/>
          <w:sz w:val="24"/>
          <w:szCs w:val="24"/>
        </w:rPr>
        <w:t xml:space="preserve">Educational aims and learning outcomes of the programmes </w:t>
      </w:r>
    </w:p>
    <w:p w14:paraId="57B97A80" w14:textId="77777777" w:rsidR="00A07A6F" w:rsidRDefault="00A07A6F" w:rsidP="00A07A6F">
      <w:pPr>
        <w:jc w:val="both"/>
        <w:rPr>
          <w:sz w:val="24"/>
          <w:szCs w:val="24"/>
        </w:rPr>
      </w:pPr>
      <w:r w:rsidRPr="00275378">
        <w:rPr>
          <w:sz w:val="24"/>
          <w:szCs w:val="24"/>
        </w:rPr>
        <w:t xml:space="preserve">All of the </w:t>
      </w:r>
      <w:r>
        <w:rPr>
          <w:sz w:val="24"/>
          <w:szCs w:val="24"/>
        </w:rPr>
        <w:t xml:space="preserve">Bachelor’s programmes at TSUL have core educational aims and learning outcomes. These aims and outcomes have been designed to ensure that graduating students reach a minimum acceptable standard in the development of their knowledge, skills and values and are equipped to lead purposeful lives in their subsequent careers. </w:t>
      </w:r>
    </w:p>
    <w:p w14:paraId="019D6702" w14:textId="7957768C" w:rsidR="00A07A6F" w:rsidRPr="008D7430" w:rsidRDefault="00A07A6F" w:rsidP="00A07A6F">
      <w:pPr>
        <w:tabs>
          <w:tab w:val="left" w:pos="284"/>
        </w:tabs>
        <w:jc w:val="both"/>
        <w:rPr>
          <w:sz w:val="24"/>
          <w:szCs w:val="24"/>
        </w:rPr>
      </w:pPr>
      <w:r w:rsidRPr="008D7430">
        <w:rPr>
          <w:sz w:val="24"/>
          <w:szCs w:val="24"/>
        </w:rPr>
        <w:t xml:space="preserve">The overall educational aims of the Bachelor’s programme in </w:t>
      </w:r>
      <w:r w:rsidR="00885694">
        <w:rPr>
          <w:sz w:val="24"/>
          <w:szCs w:val="24"/>
        </w:rPr>
        <w:t xml:space="preserve">Public Administration </w:t>
      </w:r>
      <w:r w:rsidRPr="008D7430">
        <w:rPr>
          <w:sz w:val="24"/>
          <w:szCs w:val="24"/>
        </w:rPr>
        <w:t>Law are as follows</w:t>
      </w:r>
      <w:r w:rsidR="00885694">
        <w:rPr>
          <w:sz w:val="24"/>
          <w:szCs w:val="24"/>
        </w:rPr>
        <w:t>,</w:t>
      </w:r>
      <w:r w:rsidRPr="008D7430">
        <w:rPr>
          <w:sz w:val="24"/>
          <w:szCs w:val="24"/>
        </w:rPr>
        <w:t xml:space="preserve"> in line with the Mission of TSUL</w:t>
      </w:r>
      <w:r w:rsidR="00885694">
        <w:rPr>
          <w:sz w:val="24"/>
          <w:szCs w:val="24"/>
        </w:rPr>
        <w:t>, to</w:t>
      </w:r>
      <w:r w:rsidRPr="008D7430">
        <w:rPr>
          <w:sz w:val="24"/>
          <w:szCs w:val="24"/>
        </w:rPr>
        <w:t xml:space="preserve">: </w:t>
      </w:r>
    </w:p>
    <w:p w14:paraId="0E85576D" w14:textId="77777777" w:rsidR="00A07A6F" w:rsidRDefault="00A07A6F" w:rsidP="00A07A6F">
      <w:pPr>
        <w:pStyle w:val="a3"/>
        <w:numPr>
          <w:ilvl w:val="0"/>
          <w:numId w:val="11"/>
        </w:numPr>
        <w:tabs>
          <w:tab w:val="left" w:pos="284"/>
        </w:tabs>
        <w:ind w:left="0" w:firstLine="0"/>
        <w:jc w:val="both"/>
        <w:rPr>
          <w:sz w:val="24"/>
          <w:szCs w:val="24"/>
        </w:rPr>
      </w:pPr>
      <w:r w:rsidRPr="008D7430">
        <w:rPr>
          <w:sz w:val="24"/>
          <w:szCs w:val="24"/>
        </w:rPr>
        <w:t xml:space="preserve">produce graduates in </w:t>
      </w:r>
      <w:r>
        <w:rPr>
          <w:sz w:val="24"/>
          <w:szCs w:val="24"/>
        </w:rPr>
        <w:t>Public Administration</w:t>
      </w:r>
      <w:r w:rsidRPr="008D7430">
        <w:rPr>
          <w:sz w:val="24"/>
          <w:szCs w:val="24"/>
        </w:rPr>
        <w:t xml:space="preserve"> that have knowledge</w:t>
      </w:r>
      <w:r>
        <w:rPr>
          <w:sz w:val="24"/>
          <w:szCs w:val="24"/>
        </w:rPr>
        <w:t xml:space="preserve">, </w:t>
      </w:r>
      <w:r w:rsidRPr="008D7430">
        <w:rPr>
          <w:sz w:val="24"/>
          <w:szCs w:val="24"/>
        </w:rPr>
        <w:t>skills</w:t>
      </w:r>
      <w:r>
        <w:rPr>
          <w:sz w:val="24"/>
          <w:szCs w:val="24"/>
        </w:rPr>
        <w:t>,</w:t>
      </w:r>
      <w:r w:rsidRPr="008D7430">
        <w:rPr>
          <w:sz w:val="24"/>
          <w:szCs w:val="24"/>
        </w:rPr>
        <w:t xml:space="preserve"> values and attributes necessary to promote </w:t>
      </w:r>
      <w:r>
        <w:rPr>
          <w:sz w:val="24"/>
          <w:szCs w:val="24"/>
        </w:rPr>
        <w:t xml:space="preserve">quality administration and </w:t>
      </w:r>
      <w:r w:rsidRPr="008D7430">
        <w:rPr>
          <w:sz w:val="24"/>
          <w:szCs w:val="24"/>
        </w:rPr>
        <w:t>justice</w:t>
      </w:r>
      <w:r>
        <w:rPr>
          <w:sz w:val="24"/>
          <w:szCs w:val="24"/>
        </w:rPr>
        <w:t xml:space="preserve"> in the relevant sector</w:t>
      </w:r>
    </w:p>
    <w:p w14:paraId="2C779DB5" w14:textId="77777777" w:rsidR="00A07A6F" w:rsidRPr="008D7430" w:rsidRDefault="00A07A6F" w:rsidP="00A07A6F">
      <w:pPr>
        <w:pStyle w:val="a3"/>
        <w:numPr>
          <w:ilvl w:val="0"/>
          <w:numId w:val="11"/>
        </w:numPr>
        <w:tabs>
          <w:tab w:val="left" w:pos="284"/>
        </w:tabs>
        <w:ind w:left="0" w:firstLine="0"/>
        <w:jc w:val="both"/>
        <w:rPr>
          <w:sz w:val="24"/>
          <w:szCs w:val="24"/>
        </w:rPr>
      </w:pPr>
      <w:r w:rsidRPr="008D7430">
        <w:rPr>
          <w:sz w:val="24"/>
          <w:szCs w:val="24"/>
        </w:rPr>
        <w:t>support the development of transferable skills</w:t>
      </w:r>
    </w:p>
    <w:p w14:paraId="03E9F513" w14:textId="77777777" w:rsidR="00A07A6F" w:rsidRPr="008D7430" w:rsidRDefault="00A07A6F" w:rsidP="00A07A6F">
      <w:pPr>
        <w:tabs>
          <w:tab w:val="left" w:pos="284"/>
        </w:tabs>
        <w:jc w:val="both"/>
        <w:rPr>
          <w:sz w:val="24"/>
          <w:szCs w:val="24"/>
        </w:rPr>
      </w:pPr>
      <w:r w:rsidRPr="008D7430">
        <w:rPr>
          <w:sz w:val="24"/>
          <w:szCs w:val="24"/>
        </w:rPr>
        <w:t xml:space="preserve">• enable the development of critical awareness </w:t>
      </w:r>
    </w:p>
    <w:p w14:paraId="416B7A3C" w14:textId="151ED2FE" w:rsidR="00A07A6F" w:rsidRPr="008D7430" w:rsidRDefault="00A07A6F" w:rsidP="00A07A6F">
      <w:pPr>
        <w:tabs>
          <w:tab w:val="left" w:pos="284"/>
        </w:tabs>
        <w:jc w:val="both"/>
        <w:rPr>
          <w:sz w:val="24"/>
          <w:szCs w:val="24"/>
        </w:rPr>
      </w:pPr>
      <w:r w:rsidRPr="008D7430">
        <w:rPr>
          <w:sz w:val="24"/>
          <w:szCs w:val="24"/>
        </w:rPr>
        <w:t xml:space="preserve">• provide </w:t>
      </w:r>
      <w:r w:rsidR="00885694">
        <w:rPr>
          <w:sz w:val="24"/>
          <w:szCs w:val="24"/>
        </w:rPr>
        <w:t xml:space="preserve">a </w:t>
      </w:r>
      <w:r w:rsidRPr="008D7430">
        <w:rPr>
          <w:sz w:val="24"/>
          <w:szCs w:val="24"/>
        </w:rPr>
        <w:t xml:space="preserve">globally relevant approach to studying </w:t>
      </w:r>
      <w:r w:rsidR="00885694">
        <w:rPr>
          <w:sz w:val="24"/>
          <w:szCs w:val="24"/>
        </w:rPr>
        <w:t>public administration</w:t>
      </w:r>
    </w:p>
    <w:p w14:paraId="533D24F4" w14:textId="77777777" w:rsidR="00A07A6F" w:rsidRPr="008D7430" w:rsidRDefault="00A07A6F" w:rsidP="00A07A6F">
      <w:pPr>
        <w:tabs>
          <w:tab w:val="left" w:pos="284"/>
        </w:tabs>
        <w:jc w:val="both"/>
        <w:rPr>
          <w:sz w:val="24"/>
          <w:szCs w:val="24"/>
        </w:rPr>
      </w:pPr>
      <w:r w:rsidRPr="008D7430">
        <w:rPr>
          <w:sz w:val="24"/>
          <w:szCs w:val="24"/>
        </w:rPr>
        <w:t>• promote independent learning</w:t>
      </w:r>
    </w:p>
    <w:p w14:paraId="6BBF7C01" w14:textId="77777777" w:rsidR="00A07A6F" w:rsidRPr="008D7430" w:rsidRDefault="00A07A6F" w:rsidP="00A07A6F">
      <w:pPr>
        <w:pStyle w:val="a3"/>
        <w:numPr>
          <w:ilvl w:val="0"/>
          <w:numId w:val="11"/>
        </w:numPr>
        <w:tabs>
          <w:tab w:val="left" w:pos="284"/>
        </w:tabs>
        <w:ind w:left="0" w:firstLine="0"/>
        <w:jc w:val="both"/>
        <w:rPr>
          <w:sz w:val="24"/>
          <w:szCs w:val="24"/>
        </w:rPr>
      </w:pPr>
      <w:r w:rsidRPr="008D7430">
        <w:rPr>
          <w:sz w:val="24"/>
          <w:szCs w:val="24"/>
        </w:rPr>
        <w:t>secure and maintain meaningful employment</w:t>
      </w:r>
    </w:p>
    <w:p w14:paraId="2C052AA0" w14:textId="77777777" w:rsidR="00A07A6F" w:rsidRDefault="00A07A6F" w:rsidP="00A07A6F">
      <w:pPr>
        <w:jc w:val="both"/>
        <w:rPr>
          <w:sz w:val="24"/>
          <w:szCs w:val="24"/>
        </w:rPr>
      </w:pPr>
      <w:r w:rsidRPr="003D0FD3">
        <w:rPr>
          <w:sz w:val="24"/>
          <w:szCs w:val="24"/>
        </w:rPr>
        <w:t>The generic Bachelor’s learning outcomes can be summarised as follows:</w:t>
      </w:r>
    </w:p>
    <w:p w14:paraId="400D3389" w14:textId="77777777" w:rsidR="005412C5" w:rsidRPr="003D0FD3" w:rsidRDefault="005412C5" w:rsidP="00A07A6F">
      <w:pPr>
        <w:jc w:val="both"/>
        <w:rPr>
          <w:sz w:val="24"/>
          <w:szCs w:val="24"/>
        </w:rPr>
      </w:pPr>
    </w:p>
    <w:p w14:paraId="5D410421" w14:textId="08445212" w:rsidR="00A07A6F" w:rsidRPr="00ED5178" w:rsidRDefault="005412C5" w:rsidP="00A07A6F">
      <w:pPr>
        <w:jc w:val="both"/>
        <w:rPr>
          <w:b/>
          <w:bCs/>
          <w:sz w:val="24"/>
          <w:szCs w:val="24"/>
        </w:rPr>
      </w:pPr>
      <w:r>
        <w:rPr>
          <w:b/>
          <w:bCs/>
          <w:sz w:val="24"/>
          <w:szCs w:val="24"/>
        </w:rPr>
        <w:t>Program learning outcomes</w:t>
      </w:r>
    </w:p>
    <w:p w14:paraId="2248552F" w14:textId="77777777" w:rsidR="00A07A6F" w:rsidRPr="00ED5178" w:rsidRDefault="00A07A6F" w:rsidP="00A07A6F">
      <w:pPr>
        <w:pStyle w:val="a3"/>
        <w:numPr>
          <w:ilvl w:val="0"/>
          <w:numId w:val="1"/>
        </w:numPr>
        <w:jc w:val="both"/>
        <w:rPr>
          <w:b/>
          <w:bCs/>
          <w:sz w:val="24"/>
          <w:szCs w:val="24"/>
        </w:rPr>
      </w:pPr>
      <w:r w:rsidRPr="00ED5178">
        <w:rPr>
          <w:b/>
          <w:bCs/>
          <w:sz w:val="24"/>
          <w:szCs w:val="24"/>
        </w:rPr>
        <w:t>Knowledge</w:t>
      </w:r>
    </w:p>
    <w:p w14:paraId="4BF8B4D4" w14:textId="77777777" w:rsidR="00A07A6F" w:rsidRPr="000B553D" w:rsidRDefault="00A07A6F" w:rsidP="00A07A6F">
      <w:pPr>
        <w:jc w:val="both"/>
        <w:rPr>
          <w:sz w:val="24"/>
          <w:szCs w:val="24"/>
        </w:rPr>
      </w:pPr>
      <w:r w:rsidRPr="000B553D">
        <w:rPr>
          <w:sz w:val="24"/>
          <w:szCs w:val="24"/>
        </w:rPr>
        <w:t xml:space="preserve">On completing the </w:t>
      </w:r>
      <w:bookmarkStart w:id="1" w:name="_Hlk147211605"/>
      <w:r w:rsidRPr="000B553D">
        <w:rPr>
          <w:sz w:val="24"/>
          <w:szCs w:val="24"/>
        </w:rPr>
        <w:t>Bachelor’s</w:t>
      </w:r>
      <w:bookmarkEnd w:id="1"/>
      <w:r w:rsidRPr="000B553D">
        <w:rPr>
          <w:sz w:val="24"/>
          <w:szCs w:val="24"/>
        </w:rPr>
        <w:t xml:space="preserve"> degree programme in Public Administration, students should be able to: </w:t>
      </w:r>
    </w:p>
    <w:p w14:paraId="7160C495"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demonstrate a comprehensive understanding of the fundamental principles, concepts, theories, modern trends and perspectives (PLO I);</w:t>
      </w:r>
    </w:p>
    <w:p w14:paraId="28628C87"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analyze the political, legal, economic, and social environment in which public administration operates (PLO II);</w:t>
      </w:r>
    </w:p>
    <w:p w14:paraId="67B5EF62"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 xml:space="preserve">demonstrate a comprehensive understanding of approaches and strategies in policy analysis and decision-making in a public administration context (PLO III); </w:t>
      </w:r>
    </w:p>
    <w:p w14:paraId="49AD625C"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 xml:space="preserve">explain legal foundations for public administration, civil service, rights and obligations of civil servants, restrictions of their activities (PLO IV). </w:t>
      </w:r>
    </w:p>
    <w:p w14:paraId="6AA6D676" w14:textId="4DEB7798" w:rsidR="00A07A6F" w:rsidRPr="00C25797" w:rsidRDefault="00A07A6F" w:rsidP="00B95207">
      <w:pPr>
        <w:ind w:firstLine="426"/>
        <w:jc w:val="both"/>
        <w:rPr>
          <w:b/>
          <w:bCs/>
          <w:sz w:val="24"/>
          <w:szCs w:val="24"/>
        </w:rPr>
      </w:pPr>
      <w:r w:rsidRPr="00C25797">
        <w:rPr>
          <w:b/>
          <w:bCs/>
          <w:sz w:val="24"/>
          <w:szCs w:val="24"/>
        </w:rPr>
        <w:t xml:space="preserve">B. Skills  </w:t>
      </w:r>
    </w:p>
    <w:p w14:paraId="1D7E6C06" w14:textId="77777777" w:rsidR="00A07A6F" w:rsidRDefault="00A07A6F" w:rsidP="00A07A6F">
      <w:pPr>
        <w:jc w:val="both"/>
        <w:rPr>
          <w:sz w:val="24"/>
          <w:szCs w:val="24"/>
        </w:rPr>
      </w:pPr>
      <w:r w:rsidRPr="00ED5178">
        <w:rPr>
          <w:sz w:val="24"/>
          <w:szCs w:val="24"/>
        </w:rPr>
        <w:t xml:space="preserve">On </w:t>
      </w:r>
      <w:r>
        <w:rPr>
          <w:sz w:val="24"/>
          <w:szCs w:val="24"/>
        </w:rPr>
        <w:t>completing the</w:t>
      </w:r>
      <w:r w:rsidRPr="00E735AF">
        <w:rPr>
          <w:sz w:val="24"/>
          <w:szCs w:val="24"/>
        </w:rPr>
        <w:t xml:space="preserve"> </w:t>
      </w:r>
      <w:r>
        <w:rPr>
          <w:sz w:val="24"/>
          <w:szCs w:val="24"/>
        </w:rPr>
        <w:t>Bachelor’s</w:t>
      </w:r>
      <w:r w:rsidRPr="00ED5178">
        <w:rPr>
          <w:sz w:val="24"/>
          <w:szCs w:val="24"/>
        </w:rPr>
        <w:t xml:space="preserve"> degree </w:t>
      </w:r>
      <w:r>
        <w:rPr>
          <w:sz w:val="24"/>
          <w:szCs w:val="24"/>
        </w:rPr>
        <w:t xml:space="preserve">programme </w:t>
      </w:r>
      <w:r w:rsidRPr="00ED5178">
        <w:rPr>
          <w:sz w:val="24"/>
          <w:szCs w:val="24"/>
        </w:rPr>
        <w:t xml:space="preserve">in </w:t>
      </w:r>
      <w:r>
        <w:rPr>
          <w:sz w:val="24"/>
          <w:szCs w:val="24"/>
        </w:rPr>
        <w:t>Public Administration</w:t>
      </w:r>
      <w:r w:rsidRPr="00ED5178">
        <w:rPr>
          <w:sz w:val="24"/>
          <w:szCs w:val="24"/>
        </w:rPr>
        <w:t xml:space="preserve">, students should be able to: </w:t>
      </w:r>
    </w:p>
    <w:p w14:paraId="22EAEBF4"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identify relevant issues, questions, and problems on public administration and suggest solutions (PLO V);</w:t>
      </w:r>
    </w:p>
    <w:p w14:paraId="296AA61D"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critically analyze and evaluate public policies, programs, and administrative practices (PLO VI);</w:t>
      </w:r>
    </w:p>
    <w:p w14:paraId="7B738265"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make decisions in unusual circumstances (PLO VII);</w:t>
      </w:r>
    </w:p>
    <w:p w14:paraId="195E510F"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effectively deliver complex information and ideas verbally and in written form to diverse audiences (PLO VIII);</w:t>
      </w:r>
    </w:p>
    <w:p w14:paraId="5258635F"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negotiate and collaborate effectively with stakeholders, considering social and cultural diversity (PLO IX);</w:t>
      </w:r>
    </w:p>
    <w:p w14:paraId="23E912D3"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gather, analyze, and interpret data to inform decision-making (PLO X);</w:t>
      </w:r>
    </w:p>
    <w:p w14:paraId="3F83DDED" w14:textId="22DB667A"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develop employability skills (including time management, creating an impressive resume, making a positive impression on clients and colleagues, leadership, commercial awareness, etc.) and evaluate career opportunities (PLO XI);</w:t>
      </w:r>
    </w:p>
    <w:p w14:paraId="4619AD29"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use a foreign language (English/French/German) to communicate on upper-intermediate level, including understanding spoken and written discourse and developing summarizing and essay writing skills (PLO XII).</w:t>
      </w:r>
    </w:p>
    <w:p w14:paraId="6AC1FB93" w14:textId="77777777" w:rsidR="00A07A6F" w:rsidRPr="00890BB6" w:rsidRDefault="00A07A6F" w:rsidP="00A07A6F">
      <w:pPr>
        <w:pStyle w:val="a3"/>
        <w:numPr>
          <w:ilvl w:val="0"/>
          <w:numId w:val="2"/>
        </w:numPr>
        <w:jc w:val="both"/>
        <w:rPr>
          <w:b/>
          <w:bCs/>
          <w:sz w:val="24"/>
          <w:szCs w:val="24"/>
        </w:rPr>
      </w:pPr>
      <w:r w:rsidRPr="00890BB6">
        <w:rPr>
          <w:b/>
          <w:bCs/>
          <w:sz w:val="24"/>
          <w:szCs w:val="24"/>
        </w:rPr>
        <w:t xml:space="preserve">Values/attributes  </w:t>
      </w:r>
    </w:p>
    <w:p w14:paraId="2EDD17CF" w14:textId="77777777" w:rsidR="00A07A6F" w:rsidRDefault="00A07A6F" w:rsidP="00A07A6F">
      <w:pPr>
        <w:jc w:val="both"/>
        <w:rPr>
          <w:sz w:val="24"/>
          <w:szCs w:val="24"/>
        </w:rPr>
      </w:pPr>
      <w:r w:rsidRPr="00890BB6">
        <w:rPr>
          <w:sz w:val="24"/>
          <w:szCs w:val="24"/>
        </w:rPr>
        <w:t xml:space="preserve">On </w:t>
      </w:r>
      <w:r>
        <w:rPr>
          <w:sz w:val="24"/>
          <w:szCs w:val="24"/>
        </w:rPr>
        <w:t>completing the</w:t>
      </w:r>
      <w:r w:rsidRPr="00E735AF">
        <w:rPr>
          <w:sz w:val="24"/>
          <w:szCs w:val="24"/>
        </w:rPr>
        <w:t xml:space="preserve"> </w:t>
      </w:r>
      <w:r>
        <w:rPr>
          <w:sz w:val="24"/>
          <w:szCs w:val="24"/>
        </w:rPr>
        <w:t>Bachelor’s</w:t>
      </w:r>
      <w:r w:rsidRPr="00890BB6">
        <w:rPr>
          <w:sz w:val="24"/>
          <w:szCs w:val="24"/>
        </w:rPr>
        <w:t xml:space="preserve"> degree </w:t>
      </w:r>
      <w:r>
        <w:rPr>
          <w:sz w:val="24"/>
          <w:szCs w:val="24"/>
        </w:rPr>
        <w:t xml:space="preserve">programme </w:t>
      </w:r>
      <w:r w:rsidRPr="00890BB6">
        <w:rPr>
          <w:sz w:val="24"/>
          <w:szCs w:val="24"/>
        </w:rPr>
        <w:t xml:space="preserve">in </w:t>
      </w:r>
      <w:r>
        <w:rPr>
          <w:sz w:val="24"/>
          <w:szCs w:val="24"/>
        </w:rPr>
        <w:t>Public Administration</w:t>
      </w:r>
      <w:r w:rsidRPr="00890BB6">
        <w:rPr>
          <w:sz w:val="24"/>
          <w:szCs w:val="24"/>
        </w:rPr>
        <w:t xml:space="preserve">, students should be able to: </w:t>
      </w:r>
    </w:p>
    <w:p w14:paraId="60631583"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Uphold ethical standards in public service, demonstrating integrity, honesty, and accountability (PLO XIII);</w:t>
      </w:r>
    </w:p>
    <w:p w14:paraId="543D3C33" w14:textId="77777777" w:rsidR="00C951C3" w:rsidRPr="00C951C3" w:rsidRDefault="00C951C3" w:rsidP="00C951C3">
      <w:pPr>
        <w:pStyle w:val="a3"/>
        <w:numPr>
          <w:ilvl w:val="0"/>
          <w:numId w:val="11"/>
        </w:numPr>
        <w:spacing w:line="360" w:lineRule="auto"/>
        <w:ind w:left="0" w:firstLine="360"/>
        <w:jc w:val="both"/>
        <w:rPr>
          <w:sz w:val="24"/>
          <w:szCs w:val="24"/>
        </w:rPr>
      </w:pPr>
      <w:r w:rsidRPr="00C951C3">
        <w:rPr>
          <w:sz w:val="24"/>
          <w:szCs w:val="24"/>
        </w:rPr>
        <w:t>Demonstrate a commitment to public service, the pursuit of the common good, inclusion, equity, and justice (PLO XIV);</w:t>
      </w:r>
    </w:p>
    <w:p w14:paraId="4CFABFBC" w14:textId="3F04B739" w:rsidR="00A07A6F" w:rsidRPr="000B553D" w:rsidRDefault="00C951C3" w:rsidP="00C951C3">
      <w:pPr>
        <w:pStyle w:val="a3"/>
        <w:numPr>
          <w:ilvl w:val="0"/>
          <w:numId w:val="11"/>
        </w:numPr>
        <w:spacing w:line="360" w:lineRule="auto"/>
        <w:ind w:left="0" w:firstLine="360"/>
        <w:jc w:val="both"/>
        <w:rPr>
          <w:sz w:val="24"/>
          <w:szCs w:val="24"/>
        </w:rPr>
      </w:pPr>
      <w:r w:rsidRPr="00C951C3">
        <w:rPr>
          <w:sz w:val="24"/>
          <w:szCs w:val="24"/>
        </w:rPr>
        <w:t>Appreciate the need for transparency and accountability in public decision-making and realizing the inevitability of responsibility (PLO XV).</w:t>
      </w:r>
      <w:r w:rsidR="00A07A6F" w:rsidRPr="000B553D">
        <w:rPr>
          <w:sz w:val="24"/>
          <w:szCs w:val="24"/>
        </w:rPr>
        <w:t xml:space="preserve"> </w:t>
      </w:r>
    </w:p>
    <w:p w14:paraId="41C77ACF" w14:textId="16EDDB2F" w:rsidR="00A07A6F" w:rsidRDefault="005412C5" w:rsidP="00A07A6F">
      <w:pPr>
        <w:jc w:val="both"/>
        <w:rPr>
          <w:sz w:val="24"/>
          <w:szCs w:val="24"/>
        </w:rPr>
      </w:pPr>
      <w:r w:rsidRPr="00B96AE3">
        <w:rPr>
          <w:sz w:val="24"/>
          <w:szCs w:val="24"/>
        </w:rPr>
        <w:t>In addition to the learning outcomes specified for this programme there are learning outcomes for each module</w:t>
      </w:r>
      <w:r>
        <w:rPr>
          <w:sz w:val="24"/>
          <w:szCs w:val="24"/>
        </w:rPr>
        <w:t xml:space="preserve">. </w:t>
      </w:r>
      <w:r w:rsidR="00A07A6F">
        <w:rPr>
          <w:sz w:val="24"/>
          <w:szCs w:val="24"/>
        </w:rPr>
        <w:t xml:space="preserve">The learning outcomes of each module are mapped to meet the overall learning outcomes of this Bachelor’s programme. On successful completion of the </w:t>
      </w:r>
      <w:r>
        <w:rPr>
          <w:sz w:val="24"/>
          <w:szCs w:val="24"/>
        </w:rPr>
        <w:t>programme,</w:t>
      </w:r>
      <w:r w:rsidR="00A07A6F">
        <w:rPr>
          <w:sz w:val="24"/>
          <w:szCs w:val="24"/>
        </w:rPr>
        <w:t xml:space="preserve"> a graduating student will therefore have met the learning outcomes set out in this programme specification and of the modules comprised in programme.</w:t>
      </w:r>
    </w:p>
    <w:p w14:paraId="39B76EA6" w14:textId="35A2E505" w:rsidR="003D0FD3" w:rsidRDefault="003D0FD3">
      <w:pPr>
        <w:rPr>
          <w:b/>
          <w:bCs/>
          <w:sz w:val="24"/>
          <w:szCs w:val="24"/>
        </w:rPr>
      </w:pPr>
      <w:r>
        <w:rPr>
          <w:b/>
          <w:bCs/>
          <w:sz w:val="24"/>
          <w:szCs w:val="24"/>
        </w:rPr>
        <w:t>Programme structure</w:t>
      </w:r>
    </w:p>
    <w:p w14:paraId="5E0B02CC" w14:textId="61C8D1F5" w:rsidR="0065653B" w:rsidRDefault="005C182E" w:rsidP="00D23134">
      <w:pPr>
        <w:jc w:val="both"/>
        <w:rPr>
          <w:sz w:val="24"/>
          <w:szCs w:val="24"/>
        </w:rPr>
      </w:pPr>
      <w:r>
        <w:rPr>
          <w:sz w:val="24"/>
          <w:szCs w:val="24"/>
        </w:rPr>
        <w:t xml:space="preserve">According </w:t>
      </w:r>
      <w:r w:rsidR="00E333C8">
        <w:rPr>
          <w:sz w:val="24"/>
          <w:szCs w:val="24"/>
        </w:rPr>
        <w:t xml:space="preserve">to </w:t>
      </w:r>
      <w:r>
        <w:rPr>
          <w:sz w:val="24"/>
          <w:szCs w:val="24"/>
        </w:rPr>
        <w:t xml:space="preserve">the </w:t>
      </w:r>
      <w:r w:rsidR="005F6588">
        <w:rPr>
          <w:sz w:val="24"/>
          <w:szCs w:val="24"/>
        </w:rPr>
        <w:t>M</w:t>
      </w:r>
      <w:r>
        <w:rPr>
          <w:sz w:val="24"/>
          <w:szCs w:val="24"/>
        </w:rPr>
        <w:t xml:space="preserve">inistry requirements each Bachelor’s programme, regardless of study </w:t>
      </w:r>
      <w:r w:rsidR="005F6588">
        <w:rPr>
          <w:sz w:val="24"/>
          <w:szCs w:val="24"/>
        </w:rPr>
        <w:t>subject</w:t>
      </w:r>
      <w:r>
        <w:rPr>
          <w:sz w:val="24"/>
          <w:szCs w:val="24"/>
        </w:rPr>
        <w:t xml:space="preserve"> must contain: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431"/>
      </w:tblGrid>
      <w:tr w:rsidR="00D23134" w:rsidRPr="007D590F" w14:paraId="75D81D87" w14:textId="77777777" w:rsidTr="00D23134">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664C57" w14:textId="0C864213" w:rsidR="00D23134" w:rsidRPr="007D590F" w:rsidRDefault="00D23134" w:rsidP="00D23134">
            <w:pPr>
              <w:widowControl w:val="0"/>
              <w:autoSpaceDE w:val="0"/>
              <w:autoSpaceDN w:val="0"/>
              <w:adjustRightInd w:val="0"/>
              <w:snapToGrid w:val="0"/>
              <w:spacing w:line="20" w:lineRule="atLeast"/>
              <w:jc w:val="center"/>
              <w:rPr>
                <w:b/>
                <w:color w:val="000000"/>
                <w:highlight w:val="yellow"/>
                <w:lang w:val="en-US"/>
              </w:rPr>
            </w:pPr>
            <w:r w:rsidRPr="003D76E8">
              <w:rPr>
                <w:b/>
                <w:sz w:val="24"/>
                <w:szCs w:val="24"/>
                <w:lang w:val="en-US"/>
              </w:rPr>
              <w:t>Modules and related activities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B7302" w14:textId="70624C45" w:rsidR="00D23134" w:rsidRPr="007D590F" w:rsidRDefault="00D23134" w:rsidP="00D23134">
            <w:pPr>
              <w:widowControl w:val="0"/>
              <w:autoSpaceDE w:val="0"/>
              <w:autoSpaceDN w:val="0"/>
              <w:adjustRightInd w:val="0"/>
              <w:snapToGrid w:val="0"/>
              <w:spacing w:line="20" w:lineRule="atLeast"/>
              <w:jc w:val="center"/>
              <w:rPr>
                <w:b/>
                <w:color w:val="000000"/>
                <w:highlight w:val="yellow"/>
                <w:lang w:val="uz-Cyrl-UZ"/>
              </w:rPr>
            </w:pPr>
            <w:r w:rsidRPr="003D76E8">
              <w:rPr>
                <w:b/>
                <w:sz w:val="24"/>
                <w:szCs w:val="24"/>
                <w:lang w:val="en-US"/>
              </w:rPr>
              <w:t xml:space="preserve">Hours allocated to modules </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13C7DF8F" w14:textId="6B837E4C" w:rsidR="00D23134" w:rsidRPr="007D590F" w:rsidRDefault="00D23134" w:rsidP="00D23134">
            <w:pPr>
              <w:widowControl w:val="0"/>
              <w:autoSpaceDE w:val="0"/>
              <w:autoSpaceDN w:val="0"/>
              <w:adjustRightInd w:val="0"/>
              <w:snapToGrid w:val="0"/>
              <w:spacing w:line="20" w:lineRule="atLeast"/>
              <w:jc w:val="center"/>
              <w:rPr>
                <w:b/>
                <w:color w:val="000000"/>
                <w:highlight w:val="yellow"/>
                <w:lang w:val="uz-Cyrl-UZ"/>
              </w:rPr>
            </w:pPr>
            <w:r w:rsidRPr="003D76E8">
              <w:rPr>
                <w:b/>
                <w:sz w:val="24"/>
                <w:szCs w:val="24"/>
                <w:lang w:val="en-US"/>
              </w:rPr>
              <w:t>Allocated credit</w:t>
            </w:r>
          </w:p>
        </w:tc>
      </w:tr>
      <w:tr w:rsidR="00D23134" w:rsidRPr="007D590F" w14:paraId="43543464" w14:textId="77777777" w:rsidTr="00D23134">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F1C72A" w14:textId="2FD6F3E9" w:rsidR="00D23134" w:rsidRPr="00D23134" w:rsidRDefault="00D23134" w:rsidP="00D23134">
            <w:pPr>
              <w:widowControl w:val="0"/>
              <w:autoSpaceDE w:val="0"/>
              <w:autoSpaceDN w:val="0"/>
              <w:adjustRightInd w:val="0"/>
              <w:snapToGrid w:val="0"/>
              <w:spacing w:line="20" w:lineRule="atLeast"/>
              <w:jc w:val="center"/>
              <w:rPr>
                <w:color w:val="000000"/>
                <w:lang w:val="uz-Cyrl-UZ"/>
              </w:rPr>
            </w:pPr>
            <w:r w:rsidRPr="00D23134">
              <w:rPr>
                <w:color w:val="000000"/>
                <w:lang w:val="en-US"/>
              </w:rPr>
              <w:t>Compulsory 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C7291AB" w14:textId="34EF56DC" w:rsidR="00D23134" w:rsidRPr="007D590F" w:rsidRDefault="00D23134" w:rsidP="00D23134">
            <w:pPr>
              <w:spacing w:line="20" w:lineRule="atLeast"/>
              <w:jc w:val="center"/>
              <w:rPr>
                <w:bCs/>
                <w:color w:val="000000"/>
                <w:highlight w:val="yellow"/>
                <w:lang w:val="en-US"/>
              </w:rPr>
            </w:pPr>
            <w:r w:rsidRPr="001E7C07">
              <w:rPr>
                <w:bCs/>
                <w:color w:val="000000"/>
                <w:lang w:val="en-US"/>
              </w:rPr>
              <w:t>4400</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724B06E3" w14:textId="31777D75" w:rsidR="00D23134" w:rsidRPr="007D590F" w:rsidRDefault="00D23134" w:rsidP="00D23134">
            <w:pPr>
              <w:spacing w:line="20" w:lineRule="atLeast"/>
              <w:jc w:val="center"/>
              <w:rPr>
                <w:bCs/>
                <w:color w:val="000000"/>
                <w:highlight w:val="yellow"/>
                <w:lang w:val="en-US"/>
              </w:rPr>
            </w:pPr>
            <w:r w:rsidRPr="001E7C07">
              <w:rPr>
                <w:bCs/>
                <w:color w:val="000000"/>
                <w:lang w:val="en-US"/>
              </w:rPr>
              <w:t>176</w:t>
            </w:r>
          </w:p>
        </w:tc>
      </w:tr>
      <w:tr w:rsidR="00D23134" w:rsidRPr="007D590F" w14:paraId="4A607332" w14:textId="77777777" w:rsidTr="00D23134">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06AB8F9" w14:textId="641AB75F" w:rsidR="00D23134" w:rsidRPr="00D23134" w:rsidRDefault="00D23134" w:rsidP="00D23134">
            <w:pPr>
              <w:spacing w:line="20" w:lineRule="atLeast"/>
              <w:jc w:val="center"/>
              <w:rPr>
                <w:color w:val="000000"/>
                <w:lang w:val="uz-Cyrl-UZ"/>
              </w:rPr>
            </w:pPr>
            <w:r w:rsidRPr="00D23134">
              <w:rPr>
                <w:color w:val="000000"/>
                <w:lang w:val="en-US"/>
              </w:rPr>
              <w:t>Elective 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6946D75C" w14:textId="46098053" w:rsidR="00D23134" w:rsidRPr="007D590F" w:rsidRDefault="00D23134" w:rsidP="00D23134">
            <w:pPr>
              <w:spacing w:line="20" w:lineRule="atLeast"/>
              <w:jc w:val="center"/>
              <w:rPr>
                <w:bCs/>
                <w:color w:val="000000"/>
                <w:highlight w:val="yellow"/>
                <w:lang w:val="en-US"/>
              </w:rPr>
            </w:pPr>
            <w:r w:rsidRPr="001E7C07">
              <w:rPr>
                <w:bCs/>
                <w:color w:val="000000"/>
                <w:lang w:val="en-US"/>
              </w:rPr>
              <w:t>700</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5DC0D962" w14:textId="36F132A4" w:rsidR="00D23134" w:rsidRPr="007D590F" w:rsidRDefault="00D23134" w:rsidP="00D23134">
            <w:pPr>
              <w:spacing w:line="20" w:lineRule="atLeast"/>
              <w:jc w:val="center"/>
              <w:rPr>
                <w:bCs/>
                <w:color w:val="000000"/>
                <w:highlight w:val="yellow"/>
                <w:lang w:val="en-US"/>
              </w:rPr>
            </w:pPr>
            <w:r w:rsidRPr="001E7C07">
              <w:rPr>
                <w:bCs/>
                <w:color w:val="000000"/>
                <w:lang w:val="en-US"/>
              </w:rPr>
              <w:t>28</w:t>
            </w:r>
          </w:p>
        </w:tc>
      </w:tr>
      <w:tr w:rsidR="00D23134" w:rsidRPr="007D590F" w14:paraId="69AFA8E7" w14:textId="77777777" w:rsidTr="00D23134">
        <w:trPr>
          <w:trHeight w:val="28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022E6" w14:textId="26F2B6E4" w:rsidR="00D23134" w:rsidRPr="00D23134" w:rsidRDefault="00D23134" w:rsidP="00D23134">
            <w:pPr>
              <w:widowControl w:val="0"/>
              <w:autoSpaceDE w:val="0"/>
              <w:autoSpaceDN w:val="0"/>
              <w:adjustRightInd w:val="0"/>
              <w:snapToGrid w:val="0"/>
              <w:spacing w:line="20" w:lineRule="atLeast"/>
              <w:jc w:val="center"/>
              <w:rPr>
                <w:color w:val="000000"/>
              </w:rPr>
            </w:pPr>
            <w:r w:rsidRPr="00D23134">
              <w:rPr>
                <w:color w:val="000000"/>
                <w:lang w:val="en-US"/>
              </w:rPr>
              <w:t>Practicum</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5EB7B44F" w14:textId="09E5AD45" w:rsidR="00D23134" w:rsidRPr="007D590F" w:rsidRDefault="00D23134" w:rsidP="00D23134">
            <w:pPr>
              <w:spacing w:line="20" w:lineRule="atLeast"/>
              <w:jc w:val="center"/>
              <w:rPr>
                <w:bCs/>
                <w:color w:val="000000"/>
                <w:highlight w:val="yellow"/>
                <w:lang w:val="en-US"/>
              </w:rPr>
            </w:pPr>
            <w:r w:rsidRPr="001E7C07">
              <w:rPr>
                <w:bCs/>
                <w:color w:val="000000"/>
                <w:lang w:val="en-US"/>
              </w:rPr>
              <w:t>625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488D2420" w14:textId="47B0D5AB" w:rsidR="00D23134" w:rsidRPr="007D590F" w:rsidRDefault="00D23134" w:rsidP="00D23134">
            <w:pPr>
              <w:spacing w:line="20" w:lineRule="atLeast"/>
              <w:jc w:val="center"/>
              <w:rPr>
                <w:bCs/>
                <w:color w:val="000000"/>
                <w:highlight w:val="yellow"/>
                <w:lang w:val="en-US"/>
              </w:rPr>
            </w:pPr>
            <w:r w:rsidRPr="001E7C07">
              <w:rPr>
                <w:bCs/>
                <w:color w:val="000000"/>
                <w:lang w:val="en-US"/>
              </w:rPr>
              <w:t>25</w:t>
            </w:r>
          </w:p>
        </w:tc>
      </w:tr>
      <w:tr w:rsidR="00D23134" w:rsidRPr="001E7C07" w14:paraId="75EFAD4D" w14:textId="77777777" w:rsidTr="00D23134">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2EF987D" w14:textId="50510591" w:rsidR="00D23134" w:rsidRPr="00D23134" w:rsidRDefault="00D23134" w:rsidP="00D23134">
            <w:pPr>
              <w:widowControl w:val="0"/>
              <w:autoSpaceDE w:val="0"/>
              <w:autoSpaceDN w:val="0"/>
              <w:adjustRightInd w:val="0"/>
              <w:snapToGrid w:val="0"/>
              <w:spacing w:line="20" w:lineRule="atLeast"/>
              <w:jc w:val="center"/>
              <w:rPr>
                <w:color w:val="000000"/>
              </w:rPr>
            </w:pPr>
            <w:r w:rsidRPr="00D23134">
              <w:rPr>
                <w:color w:val="000000"/>
                <w:lang w:val="en-US"/>
              </w:rPr>
              <w:t>Final state 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0CB99C79" w14:textId="6ED57113" w:rsidR="00D23134" w:rsidRPr="007D590F" w:rsidRDefault="00D23134" w:rsidP="00D23134">
            <w:pPr>
              <w:spacing w:line="20" w:lineRule="atLeast"/>
              <w:jc w:val="center"/>
              <w:rPr>
                <w:bCs/>
                <w:color w:val="000000"/>
                <w:highlight w:val="yellow"/>
                <w:lang w:val="en-US"/>
              </w:rPr>
            </w:pPr>
            <w:r w:rsidRPr="001E7C07">
              <w:rPr>
                <w:bCs/>
                <w:color w:val="000000"/>
                <w:lang w:val="en-US"/>
              </w:rPr>
              <w:t>275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47B4961D" w14:textId="2F11D957" w:rsidR="00D23134" w:rsidRPr="001E7C07" w:rsidRDefault="00D23134" w:rsidP="00D23134">
            <w:pPr>
              <w:spacing w:line="20" w:lineRule="atLeast"/>
              <w:jc w:val="center"/>
              <w:rPr>
                <w:bCs/>
                <w:color w:val="000000"/>
                <w:lang w:val="en-US"/>
              </w:rPr>
            </w:pPr>
            <w:r w:rsidRPr="001E7C07">
              <w:rPr>
                <w:bCs/>
                <w:color w:val="000000"/>
                <w:lang w:val="en-US"/>
              </w:rPr>
              <w:t>11</w:t>
            </w:r>
          </w:p>
        </w:tc>
      </w:tr>
    </w:tbl>
    <w:p w14:paraId="0E397FF1" w14:textId="77777777" w:rsidR="00D23134" w:rsidRDefault="00D23134" w:rsidP="00642DED">
      <w:pPr>
        <w:jc w:val="both"/>
        <w:rPr>
          <w:rFonts w:eastAsia="Calibri" w:cstheme="minorHAnsi"/>
          <w:kern w:val="0"/>
          <w:sz w:val="24"/>
          <w:szCs w:val="24"/>
          <w:lang w:val="en-US"/>
          <w14:ligatures w14:val="none"/>
        </w:rPr>
      </w:pPr>
      <w:r>
        <w:rPr>
          <w:rFonts w:eastAsia="Calibri" w:cstheme="minorHAnsi"/>
          <w:kern w:val="0"/>
          <w:sz w:val="24"/>
          <w:szCs w:val="24"/>
          <w:lang w:val="en-US"/>
          <w14:ligatures w14:val="none"/>
        </w:rPr>
        <w:t>Students may choose to write and defend a graduation paper on a subject within their study route instead of taking the final state examination, which grants the same credit.</w:t>
      </w:r>
    </w:p>
    <w:p w14:paraId="4EEDE7E3" w14:textId="77777777" w:rsidR="00D23134" w:rsidRDefault="00D23134" w:rsidP="00642DED">
      <w:pPr>
        <w:jc w:val="both"/>
        <w:rPr>
          <w:rFonts w:eastAsia="Calibri" w:cstheme="minorHAnsi"/>
          <w:kern w:val="0"/>
          <w:sz w:val="24"/>
          <w:szCs w:val="24"/>
          <w:lang w:val="en-US"/>
          <w14:ligatures w14:val="none"/>
        </w:rPr>
      </w:pPr>
      <w:r>
        <w:rPr>
          <w:rFonts w:eastAsia="Calibri" w:cstheme="minorHAnsi"/>
          <w:kern w:val="0"/>
          <w:sz w:val="24"/>
          <w:szCs w:val="24"/>
          <w:lang w:val="en-US"/>
          <w14:ligatures w14:val="none"/>
        </w:rPr>
        <w:t>All students must undertake a practicum in an organization of their choice based on the topic of their graduation paper or otherwise related to their route of study. The practicum last for one semester.</w:t>
      </w:r>
    </w:p>
    <w:p w14:paraId="2EA53BE5" w14:textId="77777777" w:rsidR="003D0FD3" w:rsidRPr="00275378" w:rsidRDefault="003D0FD3" w:rsidP="003D0FD3">
      <w:pPr>
        <w:spacing w:after="150" w:line="240" w:lineRule="auto"/>
        <w:rPr>
          <w:sz w:val="24"/>
          <w:szCs w:val="24"/>
        </w:rPr>
      </w:pPr>
    </w:p>
    <w:p w14:paraId="4145BDB8" w14:textId="77777777" w:rsidR="00885694" w:rsidRDefault="00885694" w:rsidP="00885694">
      <w:pPr>
        <w:rPr>
          <w:b/>
          <w:bCs/>
          <w:sz w:val="24"/>
          <w:szCs w:val="24"/>
        </w:rPr>
      </w:pPr>
      <w:r w:rsidRPr="00A67BF0">
        <w:rPr>
          <w:b/>
          <w:bCs/>
          <w:sz w:val="24"/>
          <w:szCs w:val="24"/>
        </w:rPr>
        <w:t>Learning</w:t>
      </w:r>
      <w:r>
        <w:rPr>
          <w:b/>
          <w:bCs/>
          <w:sz w:val="24"/>
          <w:szCs w:val="24"/>
        </w:rPr>
        <w:t xml:space="preserve"> </w:t>
      </w:r>
      <w:r w:rsidRPr="00A67BF0">
        <w:rPr>
          <w:b/>
          <w:bCs/>
          <w:sz w:val="24"/>
          <w:szCs w:val="24"/>
        </w:rPr>
        <w:t xml:space="preserve">and teaching strategies  </w:t>
      </w:r>
    </w:p>
    <w:p w14:paraId="2B8C0533" w14:textId="77777777" w:rsidR="00885694" w:rsidRDefault="00885694" w:rsidP="00885694">
      <w:pPr>
        <w:jc w:val="both"/>
        <w:rPr>
          <w:sz w:val="24"/>
          <w:szCs w:val="24"/>
        </w:rPr>
      </w:pPr>
      <w:bookmarkStart w:id="2" w:name="_Hlk150008988"/>
      <w:r w:rsidRPr="00942B43">
        <w:rPr>
          <w:sz w:val="24"/>
          <w:szCs w:val="24"/>
        </w:rPr>
        <w:t xml:space="preserve">The </w:t>
      </w:r>
      <w:r>
        <w:rPr>
          <w:sz w:val="24"/>
          <w:szCs w:val="24"/>
        </w:rPr>
        <w:t xml:space="preserve">learning </w:t>
      </w:r>
      <w:r w:rsidRPr="00942B43">
        <w:rPr>
          <w:sz w:val="24"/>
          <w:szCs w:val="24"/>
        </w:rPr>
        <w:t xml:space="preserve">strategy of </w:t>
      </w:r>
      <w:r>
        <w:rPr>
          <w:sz w:val="24"/>
          <w:szCs w:val="24"/>
        </w:rPr>
        <w:t>TSUL</w:t>
      </w:r>
      <w:r w:rsidRPr="00942B43">
        <w:rPr>
          <w:sz w:val="24"/>
          <w:szCs w:val="24"/>
        </w:rPr>
        <w:t xml:space="preserve"> is to promote a learning environment which encourages meaningful and active student-centred learning and which also acknowledges the existence of diverse perspectives and approaches to teaching and learning around the world. Programme content is delivered </w:t>
      </w:r>
      <w:r>
        <w:rPr>
          <w:sz w:val="24"/>
          <w:szCs w:val="24"/>
        </w:rPr>
        <w:t>face-to-face and when necessary online and through</w:t>
      </w:r>
      <w:r w:rsidRPr="00942B43">
        <w:rPr>
          <w:sz w:val="24"/>
          <w:szCs w:val="24"/>
        </w:rPr>
        <w:t xml:space="preserve"> print</w:t>
      </w:r>
      <w:r>
        <w:rPr>
          <w:sz w:val="24"/>
          <w:szCs w:val="24"/>
        </w:rPr>
        <w:t>ed</w:t>
      </w:r>
      <w:r w:rsidRPr="00942B43">
        <w:rPr>
          <w:sz w:val="24"/>
          <w:szCs w:val="24"/>
        </w:rPr>
        <w:t xml:space="preserve"> and </w:t>
      </w:r>
      <w:r>
        <w:rPr>
          <w:sz w:val="24"/>
          <w:szCs w:val="24"/>
        </w:rPr>
        <w:t xml:space="preserve">other </w:t>
      </w:r>
      <w:r w:rsidRPr="00942B43">
        <w:rPr>
          <w:sz w:val="24"/>
          <w:szCs w:val="24"/>
        </w:rPr>
        <w:t xml:space="preserve">electronic </w:t>
      </w:r>
      <w:r>
        <w:rPr>
          <w:sz w:val="24"/>
          <w:szCs w:val="24"/>
        </w:rPr>
        <w:t xml:space="preserve">means </w:t>
      </w:r>
      <w:r w:rsidRPr="00942B43">
        <w:rPr>
          <w:sz w:val="24"/>
          <w:szCs w:val="24"/>
        </w:rPr>
        <w:t xml:space="preserve">that are accessible, reliable and effective in terms of promoting </w:t>
      </w:r>
      <w:r>
        <w:rPr>
          <w:sz w:val="24"/>
          <w:szCs w:val="24"/>
        </w:rPr>
        <w:t xml:space="preserve">students’ study and achieving </w:t>
      </w:r>
      <w:r w:rsidRPr="00942B43">
        <w:rPr>
          <w:sz w:val="24"/>
          <w:szCs w:val="24"/>
        </w:rPr>
        <w:t xml:space="preserve">the </w:t>
      </w:r>
      <w:r>
        <w:rPr>
          <w:sz w:val="24"/>
          <w:szCs w:val="24"/>
        </w:rPr>
        <w:t xml:space="preserve">relevant </w:t>
      </w:r>
      <w:r w:rsidRPr="00942B43">
        <w:rPr>
          <w:sz w:val="24"/>
          <w:szCs w:val="24"/>
        </w:rPr>
        <w:t>learning outcomes</w:t>
      </w:r>
      <w:r>
        <w:rPr>
          <w:sz w:val="24"/>
          <w:szCs w:val="24"/>
        </w:rPr>
        <w:t>.</w:t>
      </w:r>
    </w:p>
    <w:p w14:paraId="46E1C655" w14:textId="77777777" w:rsidR="00885694" w:rsidRDefault="00885694" w:rsidP="00885694">
      <w:pPr>
        <w:jc w:val="both"/>
        <w:rPr>
          <w:sz w:val="24"/>
          <w:szCs w:val="24"/>
        </w:rPr>
      </w:pPr>
      <w:r>
        <w:rPr>
          <w:sz w:val="24"/>
          <w:szCs w:val="24"/>
        </w:rPr>
        <w:t xml:space="preserve">Learning and teaching delivery is conducted using a variety of methods including teacher-led sessions (lectures and mini-lectures), in-class discussion (in lectures, seminars, online and in other applicable formats), through the use of case studies, in student peer group work, using simulated (and in some cases live-client) problem-solving and through self-directed but, where necessary, guided study. </w:t>
      </w:r>
      <w:r w:rsidRPr="00162D5C">
        <w:rPr>
          <w:sz w:val="24"/>
          <w:szCs w:val="24"/>
        </w:rPr>
        <w:t>Hybrid delivery (using a mix of online and face-to-face means) will be used throughout and as appropriate.</w:t>
      </w:r>
      <w:r>
        <w:rPr>
          <w:sz w:val="24"/>
          <w:szCs w:val="24"/>
        </w:rPr>
        <w:t xml:space="preserve"> The emphasis at all times is on the active engagement of students in their studies and to this end </w:t>
      </w:r>
      <w:r w:rsidRPr="00AD0642">
        <w:rPr>
          <w:sz w:val="24"/>
          <w:szCs w:val="24"/>
        </w:rPr>
        <w:t>a staff/student committee is to be appointed which will monitor and reports on learning and teaching impact and possible aspects for improvement in both strategy and practice.</w:t>
      </w:r>
      <w:r>
        <w:rPr>
          <w:sz w:val="24"/>
          <w:szCs w:val="24"/>
        </w:rPr>
        <w:t xml:space="preserve"> </w:t>
      </w:r>
    </w:p>
    <w:p w14:paraId="5E827368" w14:textId="77777777" w:rsidR="00885694" w:rsidRDefault="00885694" w:rsidP="00885694">
      <w:pPr>
        <w:jc w:val="both"/>
        <w:rPr>
          <w:b/>
          <w:bCs/>
          <w:sz w:val="24"/>
          <w:szCs w:val="24"/>
        </w:rPr>
      </w:pPr>
    </w:p>
    <w:p w14:paraId="4D925664" w14:textId="77777777" w:rsidR="00885694" w:rsidRDefault="00885694" w:rsidP="00885694">
      <w:pPr>
        <w:jc w:val="both"/>
        <w:rPr>
          <w:b/>
          <w:bCs/>
          <w:sz w:val="24"/>
          <w:szCs w:val="24"/>
        </w:rPr>
      </w:pPr>
      <w:r w:rsidRPr="00A67BF0">
        <w:rPr>
          <w:b/>
          <w:bCs/>
          <w:sz w:val="24"/>
          <w:szCs w:val="24"/>
        </w:rPr>
        <w:t xml:space="preserve">Assessment methods </w:t>
      </w:r>
      <w:r>
        <w:rPr>
          <w:b/>
          <w:bCs/>
          <w:sz w:val="24"/>
          <w:szCs w:val="24"/>
        </w:rPr>
        <w:t>and grading</w:t>
      </w:r>
    </w:p>
    <w:p w14:paraId="45C715C0" w14:textId="4A4C3DA2" w:rsidR="00B95207" w:rsidRPr="000B553D" w:rsidRDefault="00B95207" w:rsidP="00B95207">
      <w:pPr>
        <w:spacing w:after="150" w:line="240" w:lineRule="auto"/>
        <w:jc w:val="both"/>
        <w:rPr>
          <w:sz w:val="24"/>
          <w:szCs w:val="24"/>
        </w:rPr>
      </w:pPr>
      <w:r>
        <w:rPr>
          <w:rFonts w:eastAsia="Times New Roman" w:cstheme="minorHAnsi"/>
          <w:kern w:val="0"/>
          <w:sz w:val="24"/>
          <w:szCs w:val="24"/>
          <w:lang w:eastAsia="en-GB"/>
          <w14:ligatures w14:val="none"/>
        </w:rPr>
        <w:t>Program learning outcomes (PLO I-XV) are</w:t>
      </w:r>
      <w:r w:rsidRPr="000B553D">
        <w:rPr>
          <w:rFonts w:eastAsia="Times New Roman" w:cstheme="minorHAnsi"/>
          <w:kern w:val="0"/>
          <w:sz w:val="24"/>
          <w:szCs w:val="24"/>
          <w:lang w:eastAsia="en-GB"/>
          <w14:ligatures w14:val="none"/>
        </w:rPr>
        <w:t xml:space="preserve"> acquired through programme modules </w:t>
      </w:r>
      <w:r>
        <w:rPr>
          <w:rFonts w:eastAsia="Times New Roman" w:cstheme="minorHAnsi"/>
          <w:kern w:val="0"/>
          <w:sz w:val="24"/>
          <w:szCs w:val="24"/>
          <w:lang w:eastAsia="en-GB"/>
          <w14:ligatures w14:val="none"/>
        </w:rPr>
        <w:t xml:space="preserve">and assessed </w:t>
      </w:r>
      <w:r w:rsidRPr="000B553D">
        <w:rPr>
          <w:rFonts w:eastAsia="Times New Roman" w:cstheme="minorHAnsi"/>
          <w:kern w:val="0"/>
          <w:sz w:val="24"/>
          <w:szCs w:val="24"/>
          <w:lang w:eastAsia="en-GB"/>
          <w14:ligatures w14:val="none"/>
        </w:rPr>
        <w:t xml:space="preserve">through programme modules </w:t>
      </w:r>
      <w:r>
        <w:rPr>
          <w:rFonts w:eastAsia="Times New Roman" w:cstheme="minorHAnsi"/>
          <w:kern w:val="0"/>
          <w:sz w:val="24"/>
          <w:szCs w:val="24"/>
          <w:lang w:eastAsia="en-GB"/>
          <w14:ligatures w14:val="none"/>
        </w:rPr>
        <w:t xml:space="preserve">in different formats such as </w:t>
      </w:r>
      <w:r w:rsidRPr="000B553D">
        <w:rPr>
          <w:rFonts w:eastAsia="Times New Roman" w:cstheme="minorHAnsi"/>
          <w:kern w:val="0"/>
          <w:sz w:val="24"/>
          <w:szCs w:val="24"/>
          <w:lang w:eastAsia="en-GB"/>
          <w14:ligatures w14:val="none"/>
        </w:rPr>
        <w:t>seen or unseen examinations, open/closed book examinations, and other summative and formative assessment methods, depending on the modules.</w:t>
      </w:r>
    </w:p>
    <w:p w14:paraId="3035345B" w14:textId="77777777" w:rsidR="00885694" w:rsidRDefault="00885694" w:rsidP="00885694">
      <w:pPr>
        <w:jc w:val="both"/>
        <w:rPr>
          <w:sz w:val="24"/>
          <w:szCs w:val="24"/>
        </w:rPr>
      </w:pPr>
      <w:r>
        <w:rPr>
          <w:sz w:val="24"/>
          <w:szCs w:val="24"/>
        </w:rPr>
        <w:t xml:space="preserve">Formative assessment is used to highlight what a student has done well and identify where future improvements can be made. Students are encouraged to engage with the teacher to discuss feedback and/or any concerns students may have. </w:t>
      </w:r>
    </w:p>
    <w:p w14:paraId="04265AAF" w14:textId="77777777" w:rsidR="00885694" w:rsidRDefault="00885694" w:rsidP="00885694">
      <w:pPr>
        <w:jc w:val="both"/>
        <w:rPr>
          <w:sz w:val="24"/>
          <w:szCs w:val="24"/>
        </w:rPr>
      </w:pPr>
      <w:r>
        <w:rPr>
          <w:sz w:val="24"/>
          <w:szCs w:val="24"/>
        </w:rPr>
        <w:t xml:space="preserve">Summative assessment takes place in mid-term examinations and final examinations. </w:t>
      </w:r>
      <w:r>
        <w:rPr>
          <w:sz w:val="24"/>
          <w:szCs w:val="24"/>
        </w:rPr>
        <w:br/>
        <w:t xml:space="preserve">Mid-term examinations (details of which vary from module to module and are detailed in the applicable academic handbooks)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4E71AAF7" w14:textId="6482A5EC" w:rsidR="00885694" w:rsidRDefault="00885694" w:rsidP="00885694">
      <w:pPr>
        <w:jc w:val="both"/>
        <w:rPr>
          <w:sz w:val="24"/>
          <w:szCs w:val="24"/>
        </w:rPr>
      </w:pPr>
      <w:r>
        <w:rPr>
          <w:sz w:val="24"/>
          <w:szCs w:val="24"/>
        </w:rPr>
        <w:t xml:space="preserve">Assessment criteria for mid-term assessment is devised on a module by module basis. Criteria for assessment in final examinations is consistent for all final examinations and </w:t>
      </w:r>
      <w:r w:rsidRPr="00AD0642">
        <w:rPr>
          <w:sz w:val="24"/>
          <w:szCs w:val="24"/>
        </w:rPr>
        <w:t>follows the recommendations of the Ministry of Justice as adapted and approved by the University Council.</w:t>
      </w:r>
      <w:r>
        <w:rPr>
          <w:sz w:val="24"/>
          <w:szCs w:val="24"/>
        </w:rPr>
        <w:t xml:space="preserve"> </w:t>
      </w:r>
    </w:p>
    <w:p w14:paraId="79B892D4" w14:textId="77777777" w:rsidR="00885694" w:rsidRDefault="00885694" w:rsidP="00885694">
      <w:pPr>
        <w:jc w:val="both"/>
        <w:rPr>
          <w:sz w:val="24"/>
          <w:szCs w:val="24"/>
        </w:rPr>
      </w:pPr>
      <w:r w:rsidRPr="00501381">
        <w:rPr>
          <w:sz w:val="24"/>
          <w:szCs w:val="24"/>
        </w:rPr>
        <w:t xml:space="preserve">Further details can be obtained at: </w:t>
      </w:r>
      <w:hyperlink r:id="rId9" w:history="1">
        <w:r w:rsidRPr="00501381">
          <w:rPr>
            <w:rStyle w:val="ac"/>
            <w:sz w:val="24"/>
            <w:szCs w:val="24"/>
          </w:rPr>
          <w:t>https://lex.uz/docs/-2935457</w:t>
        </w:r>
      </w:hyperlink>
      <w:r w:rsidRPr="00501381">
        <w:rPr>
          <w:sz w:val="24"/>
          <w:szCs w:val="24"/>
        </w:rPr>
        <w:t xml:space="preserve"> (</w:t>
      </w:r>
      <w:r>
        <w:rPr>
          <w:sz w:val="24"/>
          <w:szCs w:val="24"/>
        </w:rPr>
        <w:t>Framework</w:t>
      </w:r>
      <w:r w:rsidRPr="00501381">
        <w:rPr>
          <w:sz w:val="24"/>
          <w:szCs w:val="24"/>
        </w:rPr>
        <w:t xml:space="preserve"> </w:t>
      </w:r>
      <w:r>
        <w:rPr>
          <w:sz w:val="24"/>
          <w:szCs w:val="24"/>
        </w:rPr>
        <w:t>for</w:t>
      </w:r>
      <w:r w:rsidRPr="00501381">
        <w:rPr>
          <w:sz w:val="24"/>
          <w:szCs w:val="24"/>
        </w:rPr>
        <w:t xml:space="preserve"> assessment and grading </w:t>
      </w:r>
      <w:r>
        <w:rPr>
          <w:sz w:val="24"/>
          <w:szCs w:val="24"/>
        </w:rPr>
        <w:t>at</w:t>
      </w:r>
      <w:r w:rsidRPr="00501381">
        <w:rPr>
          <w:sz w:val="24"/>
          <w:szCs w:val="24"/>
        </w:rPr>
        <w:t xml:space="preserve"> Tashkent State University of Law by the </w:t>
      </w:r>
      <w:r w:rsidRPr="00501381">
        <w:rPr>
          <w:bCs/>
          <w:sz w:val="24"/>
          <w:szCs w:val="24"/>
          <w:lang w:val="en-US"/>
        </w:rPr>
        <w:t>Ministry of Higher Education, Science and Innovation</w:t>
      </w:r>
      <w:r w:rsidRPr="00501381">
        <w:rPr>
          <w:sz w:val="24"/>
          <w:szCs w:val="24"/>
        </w:rPr>
        <w:t xml:space="preserve"> and the </w:t>
      </w:r>
      <w:r w:rsidRPr="00501381">
        <w:rPr>
          <w:bCs/>
          <w:sz w:val="24"/>
          <w:szCs w:val="24"/>
          <w:lang w:val="en-US"/>
        </w:rPr>
        <w:t>Ministry of Justice</w:t>
      </w:r>
      <w:r>
        <w:rPr>
          <w:bCs/>
          <w:sz w:val="24"/>
          <w:szCs w:val="24"/>
          <w:lang w:val="en-US"/>
        </w:rPr>
        <w:t>,</w:t>
      </w:r>
      <w:r w:rsidRPr="00501381">
        <w:rPr>
          <w:bCs/>
          <w:sz w:val="24"/>
          <w:szCs w:val="24"/>
          <w:lang w:val="en-US"/>
        </w:rPr>
        <w:t xml:space="preserve"> </w:t>
      </w:r>
      <w:r w:rsidRPr="00501381">
        <w:rPr>
          <w:sz w:val="24"/>
          <w:szCs w:val="24"/>
        </w:rPr>
        <w:t>dated April 22 2016)</w:t>
      </w:r>
    </w:p>
    <w:p w14:paraId="38E5CBB2" w14:textId="77777777" w:rsidR="00885694" w:rsidRDefault="00885694" w:rsidP="00885694">
      <w:pPr>
        <w:jc w:val="both"/>
        <w:rPr>
          <w:b/>
          <w:bCs/>
          <w:sz w:val="24"/>
          <w:szCs w:val="24"/>
        </w:rPr>
      </w:pPr>
    </w:p>
    <w:p w14:paraId="62C44F18" w14:textId="77777777" w:rsidR="00885694" w:rsidRPr="0068404A" w:rsidRDefault="00885694" w:rsidP="00885694">
      <w:pPr>
        <w:jc w:val="both"/>
        <w:rPr>
          <w:b/>
          <w:bCs/>
          <w:sz w:val="24"/>
          <w:szCs w:val="24"/>
        </w:rPr>
      </w:pPr>
      <w:r w:rsidRPr="0068404A">
        <w:rPr>
          <w:b/>
          <w:bCs/>
          <w:sz w:val="24"/>
          <w:szCs w:val="24"/>
        </w:rPr>
        <w:t>Progression</w:t>
      </w:r>
    </w:p>
    <w:p w14:paraId="201B26FC" w14:textId="77777777" w:rsidR="00885694" w:rsidRDefault="00885694" w:rsidP="00885694">
      <w:pPr>
        <w:jc w:val="both"/>
        <w:rPr>
          <w:sz w:val="24"/>
          <w:szCs w:val="24"/>
        </w:rPr>
      </w:pPr>
      <w:r w:rsidRPr="00EB49CD">
        <w:rPr>
          <w:sz w:val="24"/>
          <w:szCs w:val="24"/>
        </w:rPr>
        <w:t xml:space="preserve">All students are required to pass all programme </w:t>
      </w:r>
      <w:r>
        <w:rPr>
          <w:sz w:val="24"/>
          <w:szCs w:val="24"/>
        </w:rPr>
        <w:t xml:space="preserve">modules before progressing from year to year and graduating, subject to what appears below. </w:t>
      </w:r>
    </w:p>
    <w:p w14:paraId="4CB34E2A" w14:textId="77777777" w:rsidR="00885694" w:rsidRDefault="00885694" w:rsidP="00885694">
      <w:pPr>
        <w:jc w:val="both"/>
        <w:rPr>
          <w:sz w:val="24"/>
          <w:szCs w:val="24"/>
        </w:rPr>
      </w:pPr>
      <w:r>
        <w:rPr>
          <w:sz w:val="24"/>
          <w:szCs w:val="24"/>
        </w:rPr>
        <w:t>A student who fails a module or modules can appeal to the Registry Office and the assessment in question will be reviewed by a faculty subject expert. If that appeal is dismissed the student must, if he she or they are to progress, undertake an intensive course or courses in the relevant module(s) subject(s) which is/are held during the summer after the end of the applicable academic year. If they fail the examination(s) after the intensive course(s), they may progress to the next academic year providing there are no more than 3 failures but they must study the failed modules again in addition to the modules of the new academic year. If they fail more than 3 modules at this stage they cannot progress to the next academic year and must re-take the year again if they wish to continue their studies but need only study and be examined in the failed modules.</w:t>
      </w:r>
    </w:p>
    <w:p w14:paraId="15CA7914" w14:textId="77777777" w:rsidR="00885694" w:rsidRDefault="00885694" w:rsidP="00885694">
      <w:pPr>
        <w:jc w:val="both"/>
        <w:rPr>
          <w:sz w:val="24"/>
          <w:szCs w:val="24"/>
        </w:rPr>
      </w:pPr>
      <w:r>
        <w:rPr>
          <w:sz w:val="24"/>
          <w:szCs w:val="24"/>
        </w:rPr>
        <w:t xml:space="preserve">In addition, If a student fails to attend at least 75% of teaching hours for any module studied they may not take the final examination in that module and must take the intensive course for that module that is offered during the summer after the end of the applicable academic year. If the student fails any module taken at the end of the intensive course(s), they are subject to the same rules as are set out in the paragraph above depending on the number of modules failed. </w:t>
      </w:r>
    </w:p>
    <w:p w14:paraId="1393A340" w14:textId="77777777" w:rsidR="00885694" w:rsidRDefault="00885694" w:rsidP="00885694">
      <w:pPr>
        <w:jc w:val="both"/>
        <w:rPr>
          <w:sz w:val="24"/>
          <w:szCs w:val="24"/>
        </w:rPr>
      </w:pPr>
      <w:r>
        <w:rPr>
          <w:sz w:val="24"/>
          <w:szCs w:val="24"/>
        </w:rPr>
        <w:t>The ethos of TSUL is that every student should be given the opportunity to succeed in their studies.</w:t>
      </w:r>
    </w:p>
    <w:p w14:paraId="21EA7D75" w14:textId="77777777" w:rsidR="00885694" w:rsidRDefault="00885694" w:rsidP="00885694">
      <w:pPr>
        <w:jc w:val="both"/>
        <w:rPr>
          <w:sz w:val="24"/>
          <w:szCs w:val="24"/>
        </w:rPr>
      </w:pPr>
    </w:p>
    <w:p w14:paraId="3BDBB59D" w14:textId="77777777" w:rsidR="00885694" w:rsidRDefault="00885694" w:rsidP="00885694">
      <w:pPr>
        <w:rPr>
          <w:b/>
          <w:bCs/>
          <w:sz w:val="24"/>
          <w:szCs w:val="24"/>
        </w:rPr>
      </w:pPr>
      <w:r w:rsidRPr="00A67BF0">
        <w:rPr>
          <w:b/>
          <w:bCs/>
          <w:sz w:val="24"/>
          <w:szCs w:val="24"/>
        </w:rPr>
        <w:t xml:space="preserve">Student support and guidance </w:t>
      </w:r>
    </w:p>
    <w:p w14:paraId="76D32624" w14:textId="77777777" w:rsidR="00885694" w:rsidRDefault="00885694" w:rsidP="00885694">
      <w:pPr>
        <w:jc w:val="both"/>
        <w:rPr>
          <w:sz w:val="24"/>
          <w:szCs w:val="24"/>
        </w:rPr>
      </w:pPr>
      <w:r w:rsidRPr="00C47DC5">
        <w:rPr>
          <w:sz w:val="24"/>
          <w:szCs w:val="24"/>
        </w:rPr>
        <w:t xml:space="preserve">TSUL employs a team of tutors whose </w:t>
      </w:r>
      <w:r>
        <w:rPr>
          <w:sz w:val="24"/>
          <w:szCs w:val="24"/>
        </w:rPr>
        <w:t xml:space="preserve">sole </w:t>
      </w:r>
      <w:r w:rsidRPr="00C47DC5">
        <w:rPr>
          <w:sz w:val="24"/>
          <w:szCs w:val="24"/>
        </w:rPr>
        <w:t>job is to support and guide students in their studies</w:t>
      </w:r>
      <w:r>
        <w:rPr>
          <w:sz w:val="24"/>
          <w:szCs w:val="24"/>
        </w:rPr>
        <w:t>, in</w:t>
      </w:r>
      <w:r w:rsidRPr="00C47DC5">
        <w:rPr>
          <w:sz w:val="24"/>
          <w:szCs w:val="24"/>
        </w:rPr>
        <w:t xml:space="preserve"> </w:t>
      </w:r>
      <w:r>
        <w:rPr>
          <w:sz w:val="24"/>
          <w:szCs w:val="24"/>
        </w:rPr>
        <w:t xml:space="preserve">any relevant research and </w:t>
      </w:r>
      <w:r w:rsidRPr="00C47DC5">
        <w:rPr>
          <w:sz w:val="24"/>
          <w:szCs w:val="24"/>
        </w:rPr>
        <w:t>in relation to a range of personal issue</w:t>
      </w:r>
      <w:r>
        <w:rPr>
          <w:sz w:val="24"/>
          <w:szCs w:val="24"/>
        </w:rPr>
        <w:t xml:space="preserve">s students may face. Each tutor has responsibility for between 150 and 200 students. Time is set aside for collective discussions and information sessions with student-tutor cohorts and any student can approach their tutor for individual and confidential consultations. Tutors are </w:t>
      </w:r>
      <w:r w:rsidRPr="00C47DC5">
        <w:rPr>
          <w:sz w:val="24"/>
          <w:szCs w:val="24"/>
        </w:rPr>
        <w:t>trained to relate</w:t>
      </w:r>
      <w:r>
        <w:rPr>
          <w:sz w:val="24"/>
          <w:szCs w:val="24"/>
        </w:rPr>
        <w:t>,</w:t>
      </w:r>
      <w:r w:rsidRPr="00C47DC5">
        <w:rPr>
          <w:sz w:val="24"/>
          <w:szCs w:val="24"/>
        </w:rPr>
        <w:t xml:space="preserve"> in a supportive and professional manner</w:t>
      </w:r>
      <w:r>
        <w:rPr>
          <w:sz w:val="24"/>
          <w:szCs w:val="24"/>
        </w:rPr>
        <w:t>,</w:t>
      </w:r>
      <w:r w:rsidRPr="00C47DC5">
        <w:rPr>
          <w:sz w:val="24"/>
          <w:szCs w:val="24"/>
        </w:rPr>
        <w:t xml:space="preserve"> to </w:t>
      </w:r>
      <w:r>
        <w:rPr>
          <w:sz w:val="24"/>
          <w:szCs w:val="24"/>
        </w:rPr>
        <w:t xml:space="preserve">students’ problems and </w:t>
      </w:r>
      <w:r w:rsidRPr="00C47DC5">
        <w:rPr>
          <w:sz w:val="24"/>
          <w:szCs w:val="24"/>
        </w:rPr>
        <w:t xml:space="preserve">challenges and to identify and provide referral to appropriate sources of </w:t>
      </w:r>
      <w:r>
        <w:rPr>
          <w:sz w:val="24"/>
          <w:szCs w:val="24"/>
        </w:rPr>
        <w:t xml:space="preserve">other </w:t>
      </w:r>
      <w:r w:rsidRPr="00C47DC5">
        <w:rPr>
          <w:sz w:val="24"/>
          <w:szCs w:val="24"/>
        </w:rPr>
        <w:t>professional help as and when necessary</w:t>
      </w:r>
      <w:r>
        <w:rPr>
          <w:sz w:val="24"/>
          <w:szCs w:val="24"/>
        </w:rPr>
        <w:t>, including assistance from academic departments and from other relevant professional personnel such as counsellors and medics</w:t>
      </w:r>
      <w:r w:rsidRPr="00C47DC5">
        <w:rPr>
          <w:sz w:val="24"/>
          <w:szCs w:val="24"/>
        </w:rPr>
        <w:t>.</w:t>
      </w:r>
      <w:r>
        <w:rPr>
          <w:sz w:val="24"/>
          <w:szCs w:val="24"/>
        </w:rPr>
        <w:t xml:space="preserve"> </w:t>
      </w:r>
    </w:p>
    <w:p w14:paraId="1D6B38AD" w14:textId="77777777" w:rsidR="00885694" w:rsidRDefault="00885694" w:rsidP="00885694">
      <w:pPr>
        <w:jc w:val="both"/>
        <w:rPr>
          <w:sz w:val="24"/>
          <w:szCs w:val="24"/>
        </w:rPr>
      </w:pPr>
      <w:r w:rsidRPr="00501381">
        <w:rPr>
          <w:sz w:val="24"/>
          <w:szCs w:val="24"/>
        </w:rPr>
        <w:t xml:space="preserve">Further details can be obtained </w:t>
      </w:r>
      <w:r>
        <w:rPr>
          <w:sz w:val="24"/>
          <w:szCs w:val="24"/>
        </w:rPr>
        <w:t xml:space="preserve">from the Policy for Organization of Tutorship at TSUL approved  </w:t>
      </w:r>
      <w:r w:rsidRPr="00501381">
        <w:rPr>
          <w:sz w:val="24"/>
          <w:szCs w:val="24"/>
        </w:rPr>
        <w:t xml:space="preserve"> </w:t>
      </w:r>
      <w:r>
        <w:rPr>
          <w:sz w:val="24"/>
          <w:szCs w:val="24"/>
        </w:rPr>
        <w:t xml:space="preserve">by the University Rector’s order </w:t>
      </w:r>
      <w:r w:rsidRPr="00CA7FF8">
        <w:rPr>
          <w:sz w:val="24"/>
          <w:szCs w:val="24"/>
          <w:lang w:val="en-US"/>
        </w:rPr>
        <w:t>№ 08-145</w:t>
      </w:r>
      <w:r>
        <w:rPr>
          <w:sz w:val="24"/>
          <w:szCs w:val="24"/>
          <w:lang w:val="en-US"/>
        </w:rPr>
        <w:t>,</w:t>
      </w:r>
      <w:r w:rsidRPr="00CA7FF8">
        <w:rPr>
          <w:sz w:val="24"/>
          <w:szCs w:val="24"/>
          <w:lang w:val="en-US"/>
        </w:rPr>
        <w:t xml:space="preserve"> </w:t>
      </w:r>
      <w:r w:rsidRPr="00501381">
        <w:rPr>
          <w:sz w:val="24"/>
          <w:szCs w:val="24"/>
        </w:rPr>
        <w:t xml:space="preserve">dated </w:t>
      </w:r>
      <w:r>
        <w:rPr>
          <w:sz w:val="24"/>
          <w:szCs w:val="24"/>
        </w:rPr>
        <w:t xml:space="preserve">June </w:t>
      </w:r>
      <w:r w:rsidRPr="00501381">
        <w:rPr>
          <w:sz w:val="24"/>
          <w:szCs w:val="24"/>
        </w:rPr>
        <w:t>2 20</w:t>
      </w:r>
      <w:r>
        <w:rPr>
          <w:sz w:val="24"/>
          <w:szCs w:val="24"/>
        </w:rPr>
        <w:t xml:space="preserve">21. </w:t>
      </w:r>
    </w:p>
    <w:p w14:paraId="15676515" w14:textId="77777777" w:rsidR="00E25B36" w:rsidRDefault="00E25B36" w:rsidP="00E25B36">
      <w:pPr>
        <w:jc w:val="both"/>
        <w:rPr>
          <w:sz w:val="24"/>
          <w:szCs w:val="24"/>
        </w:rPr>
      </w:pPr>
      <w:r>
        <w:rPr>
          <w:sz w:val="24"/>
          <w:szCs w:val="24"/>
        </w:rPr>
        <w:t xml:space="preserve">TSUL Students’ Association runs a mentorship program in which experienced students offer guidance to less experienced ones. The Students’ Association also organizes different clubs, for example, focusing on public speaking, IT and academic writing in which students have an opportunity to further develop their hard and soft skills. </w:t>
      </w:r>
    </w:p>
    <w:p w14:paraId="356A1998" w14:textId="77777777" w:rsidR="00885694" w:rsidRPr="00501381" w:rsidRDefault="00885694" w:rsidP="00885694">
      <w:pPr>
        <w:jc w:val="both"/>
        <w:rPr>
          <w:sz w:val="24"/>
          <w:szCs w:val="24"/>
        </w:rPr>
      </w:pPr>
    </w:p>
    <w:p w14:paraId="4264A067" w14:textId="77777777" w:rsidR="00885694" w:rsidRDefault="00885694" w:rsidP="00885694">
      <w:pPr>
        <w:jc w:val="both"/>
        <w:rPr>
          <w:b/>
          <w:bCs/>
          <w:sz w:val="24"/>
          <w:szCs w:val="24"/>
        </w:rPr>
      </w:pPr>
      <w:r w:rsidRPr="00AE2A45">
        <w:rPr>
          <w:b/>
          <w:bCs/>
          <w:sz w:val="24"/>
          <w:szCs w:val="24"/>
        </w:rPr>
        <w:t xml:space="preserve">Graduate </w:t>
      </w:r>
      <w:r>
        <w:rPr>
          <w:b/>
          <w:bCs/>
          <w:sz w:val="24"/>
          <w:szCs w:val="24"/>
        </w:rPr>
        <w:t>e</w:t>
      </w:r>
      <w:r w:rsidRPr="00AE2A45">
        <w:rPr>
          <w:b/>
          <w:bCs/>
          <w:sz w:val="24"/>
          <w:szCs w:val="24"/>
        </w:rPr>
        <w:t>mplo</w:t>
      </w:r>
      <w:r>
        <w:rPr>
          <w:b/>
          <w:bCs/>
          <w:sz w:val="24"/>
          <w:szCs w:val="24"/>
        </w:rPr>
        <w:t>ya</w:t>
      </w:r>
      <w:r w:rsidRPr="00AE2A45">
        <w:rPr>
          <w:b/>
          <w:bCs/>
          <w:sz w:val="24"/>
          <w:szCs w:val="24"/>
        </w:rPr>
        <w:t>bility</w:t>
      </w:r>
      <w:r>
        <w:rPr>
          <w:b/>
          <w:bCs/>
          <w:sz w:val="24"/>
          <w:szCs w:val="24"/>
        </w:rPr>
        <w:t xml:space="preserve"> and</w:t>
      </w:r>
      <w:r w:rsidRPr="00AE2A45">
        <w:rPr>
          <w:b/>
          <w:bCs/>
          <w:sz w:val="24"/>
          <w:szCs w:val="24"/>
        </w:rPr>
        <w:t xml:space="preserve"> career </w:t>
      </w:r>
      <w:r>
        <w:rPr>
          <w:b/>
          <w:bCs/>
          <w:sz w:val="24"/>
          <w:szCs w:val="24"/>
        </w:rPr>
        <w:t>guidance</w:t>
      </w:r>
    </w:p>
    <w:p w14:paraId="296A747F" w14:textId="77777777" w:rsidR="00885694" w:rsidRDefault="00885694" w:rsidP="00885694">
      <w:pPr>
        <w:jc w:val="both"/>
        <w:rPr>
          <w:sz w:val="24"/>
          <w:szCs w:val="24"/>
        </w:rPr>
      </w:pPr>
      <w:r w:rsidRPr="00C47DC5">
        <w:rPr>
          <w:sz w:val="24"/>
          <w:szCs w:val="24"/>
        </w:rPr>
        <w:t>This programme specification</w:t>
      </w:r>
      <w:r>
        <w:rPr>
          <w:sz w:val="24"/>
          <w:szCs w:val="24"/>
        </w:rPr>
        <w:t xml:space="preserve"> sets out the outcomes a student can expect to have acquired on graduation and these have been designed to aid employability prospects. Progressing through their studies students should become equipped with a range of knowledge, skills and values/attributes relevant to the needs of employers and wider society in today’s world.</w:t>
      </w:r>
    </w:p>
    <w:p w14:paraId="7404073F" w14:textId="245C2DD5" w:rsidR="00885694" w:rsidRDefault="00885694" w:rsidP="00885694">
      <w:pPr>
        <w:jc w:val="both"/>
        <w:rPr>
          <w:sz w:val="24"/>
          <w:szCs w:val="24"/>
        </w:rPr>
      </w:pPr>
      <w:r>
        <w:rPr>
          <w:sz w:val="24"/>
          <w:szCs w:val="24"/>
        </w:rPr>
        <w:t xml:space="preserve">TSUL takes seriously the employability and career destination of its students and takes steps from the very first year of study to introduce students to the range of job opportunities that exist for </w:t>
      </w:r>
      <w:r w:rsidR="001D11A1">
        <w:rPr>
          <w:sz w:val="24"/>
          <w:szCs w:val="24"/>
        </w:rPr>
        <w:t>Public Administration</w:t>
      </w:r>
      <w:r>
        <w:rPr>
          <w:sz w:val="24"/>
          <w:szCs w:val="24"/>
        </w:rPr>
        <w:t xml:space="preserve"> graduates and to assist students to gain experience of work-related activity and, where appropriate, earn an income from part-time employment during their studies.</w:t>
      </w:r>
    </w:p>
    <w:p w14:paraId="5996F74B" w14:textId="2A6DC42D" w:rsidR="00885694" w:rsidRDefault="00885694" w:rsidP="00885694">
      <w:pPr>
        <w:jc w:val="both"/>
        <w:rPr>
          <w:sz w:val="24"/>
          <w:szCs w:val="24"/>
        </w:rPr>
      </w:pPr>
      <w:r>
        <w:rPr>
          <w:sz w:val="24"/>
          <w:szCs w:val="24"/>
        </w:rPr>
        <w:t>To this end TSUL has a Careers Department that offers career workshops to all students using, where possible, guest speakers from particular professional backgrounds</w:t>
      </w:r>
      <w:r w:rsidR="00097EA5">
        <w:rPr>
          <w:sz w:val="24"/>
          <w:szCs w:val="24"/>
        </w:rPr>
        <w:t xml:space="preserve"> in the public and private and not for profit sectors</w:t>
      </w:r>
      <w:r>
        <w:rPr>
          <w:sz w:val="24"/>
          <w:szCs w:val="24"/>
        </w:rPr>
        <w:t xml:space="preserve">. In addition to these workshops TSUL currently has </w:t>
      </w:r>
      <w:r w:rsidR="00097EA5">
        <w:rPr>
          <w:sz w:val="24"/>
          <w:szCs w:val="24"/>
        </w:rPr>
        <w:t xml:space="preserve">links with Public Service Centres </w:t>
      </w:r>
      <w:r>
        <w:rPr>
          <w:sz w:val="24"/>
          <w:szCs w:val="24"/>
        </w:rPr>
        <w:t>through whom internships are offered and organised. Students are able to take advantage of this arrangement from the beginning of their studies. Many are, in fact, offered paid employment following successful periods of internship.</w:t>
      </w:r>
    </w:p>
    <w:p w14:paraId="0F99D862" w14:textId="77777777" w:rsidR="00885694" w:rsidRPr="007D590F" w:rsidRDefault="00885694" w:rsidP="00885694">
      <w:pPr>
        <w:jc w:val="both"/>
        <w:rPr>
          <w:sz w:val="24"/>
          <w:szCs w:val="24"/>
        </w:rPr>
      </w:pPr>
      <w:r>
        <w:rPr>
          <w:sz w:val="24"/>
          <w:szCs w:val="24"/>
        </w:rPr>
        <w:t xml:space="preserve">The Careers Department also offers individual advice through an online service and has a </w:t>
      </w:r>
      <w:r w:rsidRPr="007D590F">
        <w:rPr>
          <w:sz w:val="24"/>
          <w:szCs w:val="24"/>
        </w:rPr>
        <w:t xml:space="preserve">social media channel which posts job and volunteering opportunities. </w:t>
      </w:r>
    </w:p>
    <w:p w14:paraId="01397CF8" w14:textId="77777777" w:rsidR="00885694" w:rsidRPr="007D590F" w:rsidRDefault="00885694" w:rsidP="00885694">
      <w:pPr>
        <w:jc w:val="both"/>
        <w:rPr>
          <w:sz w:val="24"/>
          <w:szCs w:val="24"/>
        </w:rPr>
      </w:pPr>
    </w:p>
    <w:p w14:paraId="157BD711" w14:textId="77777777" w:rsidR="00885694" w:rsidRDefault="00885694" w:rsidP="00885694">
      <w:pPr>
        <w:rPr>
          <w:b/>
          <w:bCs/>
          <w:sz w:val="24"/>
          <w:szCs w:val="24"/>
        </w:rPr>
      </w:pPr>
      <w:r w:rsidRPr="007D590F">
        <w:rPr>
          <w:b/>
          <w:bCs/>
          <w:sz w:val="24"/>
          <w:szCs w:val="24"/>
        </w:rPr>
        <w:t xml:space="preserve">Quality </w:t>
      </w:r>
      <w:r w:rsidRPr="00A67BF0">
        <w:rPr>
          <w:b/>
          <w:bCs/>
          <w:sz w:val="24"/>
          <w:szCs w:val="24"/>
        </w:rPr>
        <w:t xml:space="preserve">evaluation and enhancement </w:t>
      </w:r>
    </w:p>
    <w:p w14:paraId="4AF657A8" w14:textId="77777777" w:rsidR="00885694" w:rsidRDefault="00885694" w:rsidP="00885694">
      <w:pPr>
        <w:jc w:val="both"/>
        <w:rPr>
          <w:sz w:val="24"/>
          <w:szCs w:val="24"/>
        </w:rPr>
      </w:pPr>
      <w:r>
        <w:rPr>
          <w:sz w:val="24"/>
          <w:szCs w:val="24"/>
        </w:rPr>
        <w:t>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w:t>
      </w:r>
      <w:r w:rsidRPr="00BE58D7">
        <w:rPr>
          <w:sz w:val="24"/>
          <w:szCs w:val="24"/>
        </w:rPr>
        <w:t xml:space="preserve"> </w:t>
      </w:r>
      <w:r>
        <w:rPr>
          <w:sz w:val="24"/>
          <w:szCs w:val="24"/>
        </w:rPr>
        <w:t xml:space="preserve">and evidence, provided periodically, on outcomes and on issues of quality assurance and related enhancement processes. </w:t>
      </w:r>
    </w:p>
    <w:p w14:paraId="678D9B03" w14:textId="77777777" w:rsidR="00885694" w:rsidRDefault="00885694" w:rsidP="00885694">
      <w:pPr>
        <w:jc w:val="both"/>
        <w:rPr>
          <w:sz w:val="24"/>
          <w:szCs w:val="24"/>
        </w:rPr>
      </w:pPr>
      <w:r>
        <w:rPr>
          <w:sz w:val="24"/>
          <w:szCs w:val="24"/>
        </w:rPr>
        <w:t xml:space="preserve">The Department for Quality Education of the TSUL conducts an on-going internal monitoring of the programme and based on the evidence collected takes measures to make any necessary improvements. </w:t>
      </w:r>
    </w:p>
    <w:p w14:paraId="3E80B57B" w14:textId="77777777" w:rsidR="00885694" w:rsidRDefault="00885694" w:rsidP="00885694">
      <w:pPr>
        <w:jc w:val="both"/>
        <w:rPr>
          <w:sz w:val="24"/>
          <w:szCs w:val="24"/>
        </w:rPr>
      </w:pPr>
      <w:r>
        <w:rPr>
          <w:sz w:val="24"/>
          <w:szCs w:val="24"/>
        </w:rPr>
        <w:t xml:space="preserve">Additionally, as part of the </w:t>
      </w:r>
      <w:r w:rsidRPr="009D4C2C">
        <w:rPr>
          <w:sz w:val="24"/>
          <w:szCs w:val="24"/>
        </w:rPr>
        <w:t>a</w:t>
      </w:r>
      <w:r w:rsidRPr="009D4C2C">
        <w:rPr>
          <w:bCs/>
          <w:sz w:val="24"/>
          <w:szCs w:val="24"/>
        </w:rPr>
        <w:t>ccreditation</w:t>
      </w:r>
      <w:r w:rsidRPr="009D4C2C">
        <w:rPr>
          <w:sz w:val="24"/>
          <w:szCs w:val="24"/>
        </w:rPr>
        <w:t xml:space="preserve"> process</w:t>
      </w:r>
      <w:r>
        <w:rPr>
          <w:sz w:val="24"/>
          <w:szCs w:val="24"/>
        </w:rPr>
        <w:t>, the Department for Quality Education of the University conducts an internal review, every five years which, in turn, is subject to the Ministry of Higher Education, Science and Innovation based on the report the University submits. The next review is due in March 2024.</w:t>
      </w:r>
      <w:bookmarkEnd w:id="2"/>
    </w:p>
    <w:p w14:paraId="5E77362F" w14:textId="5728D41C" w:rsidR="00560454" w:rsidRDefault="00560454" w:rsidP="00885694">
      <w:pPr>
        <w:jc w:val="both"/>
        <w:rPr>
          <w:sz w:val="24"/>
          <w:szCs w:val="24"/>
        </w:rPr>
      </w:pPr>
      <w:r>
        <w:rPr>
          <w:sz w:val="24"/>
          <w:szCs w:val="24"/>
        </w:rPr>
        <w:t xml:space="preserve">If further clarification on the content of this programme specification is required, please contact the Department for Quality Education at TSUL: </w:t>
      </w:r>
      <w:hyperlink r:id="rId10" w:history="1">
        <w:r w:rsidR="007D590F" w:rsidRPr="0056443A">
          <w:rPr>
            <w:rStyle w:val="ac"/>
            <w:sz w:val="24"/>
            <w:szCs w:val="24"/>
          </w:rPr>
          <w:t>b.akmalxonov@tsul.uz</w:t>
        </w:r>
      </w:hyperlink>
      <w:r w:rsidR="007D590F">
        <w:rPr>
          <w:sz w:val="24"/>
          <w:szCs w:val="24"/>
        </w:rPr>
        <w:t xml:space="preserve"> </w:t>
      </w:r>
    </w:p>
    <w:sectPr w:rsidR="0056045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4E63B" w14:textId="77777777" w:rsidR="00922419" w:rsidRDefault="00922419" w:rsidP="006E7908">
      <w:pPr>
        <w:spacing w:after="0" w:line="240" w:lineRule="auto"/>
      </w:pPr>
      <w:r>
        <w:separator/>
      </w:r>
    </w:p>
  </w:endnote>
  <w:endnote w:type="continuationSeparator" w:id="0">
    <w:p w14:paraId="00ADAA89" w14:textId="77777777" w:rsidR="00922419" w:rsidRDefault="00922419"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UZ">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922419">
          <w:rPr>
            <w:noProof/>
          </w:rPr>
          <w:t>1</w:t>
        </w:r>
        <w:r>
          <w:fldChar w:fldCharType="end"/>
        </w:r>
      </w:p>
    </w:sdtContent>
  </w:sdt>
  <w:p w14:paraId="14D6711C"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637CC" w14:textId="77777777" w:rsidR="00922419" w:rsidRDefault="00922419" w:rsidP="006E7908">
      <w:pPr>
        <w:spacing w:after="0" w:line="240" w:lineRule="auto"/>
      </w:pPr>
      <w:r>
        <w:separator/>
      </w:r>
    </w:p>
  </w:footnote>
  <w:footnote w:type="continuationSeparator" w:id="0">
    <w:p w14:paraId="5EBEE878" w14:textId="77777777" w:rsidR="00922419" w:rsidRDefault="00922419" w:rsidP="006E7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6361"/>
    <w:multiLevelType w:val="hybridMultilevel"/>
    <w:tmpl w:val="8DA8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063628"/>
    <w:multiLevelType w:val="multilevel"/>
    <w:tmpl w:val="8DBA8A9C"/>
    <w:lvl w:ilvl="0">
      <w:start w:val="1"/>
      <w:numFmt w:val="bullet"/>
      <w:lvlText w:val=""/>
      <w:lvlJc w:val="left"/>
      <w:pPr>
        <w:ind w:left="420" w:hanging="360"/>
      </w:pPr>
      <w:rPr>
        <w:rFonts w:ascii="Symbol" w:hAnsi="Symbol" w:hint="default"/>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E0169A"/>
    <w:multiLevelType w:val="hybridMultilevel"/>
    <w:tmpl w:val="ADA4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A432DD"/>
    <w:multiLevelType w:val="hybridMultilevel"/>
    <w:tmpl w:val="CD6E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1C47EE"/>
    <w:multiLevelType w:val="multilevel"/>
    <w:tmpl w:val="8DBA8A9C"/>
    <w:lvl w:ilvl="0">
      <w:start w:val="1"/>
      <w:numFmt w:val="bullet"/>
      <w:lvlText w:val=""/>
      <w:lvlJc w:val="left"/>
      <w:pPr>
        <w:ind w:left="786" w:hanging="360"/>
      </w:pPr>
      <w:rPr>
        <w:rFonts w:ascii="Symbol" w:hAnsi="Symbol" w:hint="default"/>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48F521F6"/>
    <w:multiLevelType w:val="hybridMultilevel"/>
    <w:tmpl w:val="83028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C92607"/>
    <w:multiLevelType w:val="hybridMultilevel"/>
    <w:tmpl w:val="D194D0BA"/>
    <w:lvl w:ilvl="0" w:tplc="C8F025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BAF2E01"/>
    <w:multiLevelType w:val="hybridMultilevel"/>
    <w:tmpl w:val="301297B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7DCB19B4"/>
    <w:multiLevelType w:val="hybridMultilevel"/>
    <w:tmpl w:val="70A2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10"/>
  </w:num>
  <w:num w:numId="5">
    <w:abstractNumId w:val="9"/>
  </w:num>
  <w:num w:numId="6">
    <w:abstractNumId w:val="8"/>
  </w:num>
  <w:num w:numId="7">
    <w:abstractNumId w:val="13"/>
  </w:num>
  <w:num w:numId="8">
    <w:abstractNumId w:val="0"/>
  </w:num>
  <w:num w:numId="9">
    <w:abstractNumId w:val="3"/>
  </w:num>
  <w:num w:numId="10">
    <w:abstractNumId w:val="5"/>
  </w:num>
  <w:num w:numId="11">
    <w:abstractNumId w:val="7"/>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zMTY3MLY0M7E0MzBU0lEKTi0uzszPAykwrgUA7evF6ywAAAA="/>
  </w:docVars>
  <w:rsids>
    <w:rsidRoot w:val="00A67BF0"/>
    <w:rsid w:val="000844B9"/>
    <w:rsid w:val="00097EA5"/>
    <w:rsid w:val="000B553D"/>
    <w:rsid w:val="000E3C24"/>
    <w:rsid w:val="0013202E"/>
    <w:rsid w:val="00132405"/>
    <w:rsid w:val="00171769"/>
    <w:rsid w:val="001749E9"/>
    <w:rsid w:val="001945D2"/>
    <w:rsid w:val="001948AC"/>
    <w:rsid w:val="001D11A1"/>
    <w:rsid w:val="001E3554"/>
    <w:rsid w:val="002129E6"/>
    <w:rsid w:val="002545DE"/>
    <w:rsid w:val="00262E77"/>
    <w:rsid w:val="002671E8"/>
    <w:rsid w:val="00275378"/>
    <w:rsid w:val="00293B8F"/>
    <w:rsid w:val="002A52C9"/>
    <w:rsid w:val="002F730D"/>
    <w:rsid w:val="0032413D"/>
    <w:rsid w:val="003652B3"/>
    <w:rsid w:val="003665F5"/>
    <w:rsid w:val="003809D1"/>
    <w:rsid w:val="0038171F"/>
    <w:rsid w:val="003869AC"/>
    <w:rsid w:val="003B4F1F"/>
    <w:rsid w:val="003B7B48"/>
    <w:rsid w:val="003D0FD3"/>
    <w:rsid w:val="003D7CCD"/>
    <w:rsid w:val="003F401A"/>
    <w:rsid w:val="004165D9"/>
    <w:rsid w:val="00446179"/>
    <w:rsid w:val="004752E8"/>
    <w:rsid w:val="004C0933"/>
    <w:rsid w:val="004E4E6A"/>
    <w:rsid w:val="00515A65"/>
    <w:rsid w:val="005412C5"/>
    <w:rsid w:val="00560454"/>
    <w:rsid w:val="00571774"/>
    <w:rsid w:val="00573E78"/>
    <w:rsid w:val="005A4C02"/>
    <w:rsid w:val="005C016F"/>
    <w:rsid w:val="005C182E"/>
    <w:rsid w:val="005D7FD7"/>
    <w:rsid w:val="005F6588"/>
    <w:rsid w:val="006350CA"/>
    <w:rsid w:val="00642DED"/>
    <w:rsid w:val="00652443"/>
    <w:rsid w:val="0065653B"/>
    <w:rsid w:val="006574BB"/>
    <w:rsid w:val="0068404A"/>
    <w:rsid w:val="006864B5"/>
    <w:rsid w:val="006D7697"/>
    <w:rsid w:val="006E7908"/>
    <w:rsid w:val="007D590F"/>
    <w:rsid w:val="007F1B4B"/>
    <w:rsid w:val="00820AD3"/>
    <w:rsid w:val="0083323B"/>
    <w:rsid w:val="008777AA"/>
    <w:rsid w:val="00885694"/>
    <w:rsid w:val="008E2A49"/>
    <w:rsid w:val="00922419"/>
    <w:rsid w:val="00942B43"/>
    <w:rsid w:val="009C0EFE"/>
    <w:rsid w:val="009C683E"/>
    <w:rsid w:val="00A07A6F"/>
    <w:rsid w:val="00A17A52"/>
    <w:rsid w:val="00A67BF0"/>
    <w:rsid w:val="00A800B2"/>
    <w:rsid w:val="00B04ED8"/>
    <w:rsid w:val="00B572A0"/>
    <w:rsid w:val="00B64D7B"/>
    <w:rsid w:val="00B92B31"/>
    <w:rsid w:val="00B95207"/>
    <w:rsid w:val="00C45809"/>
    <w:rsid w:val="00C54135"/>
    <w:rsid w:val="00C60045"/>
    <w:rsid w:val="00C91D56"/>
    <w:rsid w:val="00C951C3"/>
    <w:rsid w:val="00CB63A8"/>
    <w:rsid w:val="00CD6806"/>
    <w:rsid w:val="00CE7759"/>
    <w:rsid w:val="00D23134"/>
    <w:rsid w:val="00DC25B9"/>
    <w:rsid w:val="00DE4DA0"/>
    <w:rsid w:val="00E25B36"/>
    <w:rsid w:val="00E333C8"/>
    <w:rsid w:val="00E62F5A"/>
    <w:rsid w:val="00E80ED4"/>
    <w:rsid w:val="00ED27E1"/>
    <w:rsid w:val="00ED6C75"/>
    <w:rsid w:val="00F848AA"/>
    <w:rsid w:val="00FB0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aliases w:val="текст,Основной текст 1"/>
    <w:basedOn w:val="a"/>
    <w:link w:val="ab"/>
    <w:rsid w:val="003B4F1F"/>
    <w:pPr>
      <w:spacing w:after="120" w:line="240" w:lineRule="auto"/>
      <w:ind w:left="283"/>
    </w:pPr>
    <w:rPr>
      <w:rFonts w:ascii="TimesUZ" w:eastAsia="Times New Roman" w:hAnsi="TimesUZ" w:cs="Times New Roman"/>
      <w:kern w:val="0"/>
      <w:sz w:val="24"/>
      <w:szCs w:val="24"/>
      <w:lang w:val="en" w:eastAsia="ru-RU"/>
      <w14:ligatures w14:val="none"/>
    </w:rPr>
  </w:style>
  <w:style w:type="character" w:customStyle="1" w:styleId="ab">
    <w:name w:val="Основной текст с отступом Знак"/>
    <w:aliases w:val="текст Знак,Основной текст 1 Знак"/>
    <w:basedOn w:val="a0"/>
    <w:link w:val="aa"/>
    <w:rsid w:val="003B4F1F"/>
    <w:rPr>
      <w:rFonts w:ascii="TimesUZ" w:eastAsia="Times New Roman" w:hAnsi="TimesUZ" w:cs="Times New Roman"/>
      <w:kern w:val="0"/>
      <w:sz w:val="24"/>
      <w:szCs w:val="24"/>
      <w:lang w:val="en" w:eastAsia="ru-RU"/>
      <w14:ligatures w14:val="none"/>
    </w:rPr>
  </w:style>
  <w:style w:type="character" w:styleId="ac">
    <w:name w:val="Hyperlink"/>
    <w:basedOn w:val="a0"/>
    <w:uiPriority w:val="99"/>
    <w:unhideWhenUsed/>
    <w:rsid w:val="00A07A6F"/>
    <w:rPr>
      <w:color w:val="0000FF"/>
      <w:u w:val="single"/>
    </w:rPr>
  </w:style>
  <w:style w:type="table" w:customStyle="1" w:styleId="TableNormal">
    <w:name w:val="Table Normal"/>
    <w:rsid w:val="00C951C3"/>
    <w:pPr>
      <w:widowControl w:val="0"/>
      <w:spacing w:after="0" w:line="240" w:lineRule="auto"/>
    </w:pPr>
    <w:rPr>
      <w:rFonts w:ascii="Arial" w:eastAsia="Arial" w:hAnsi="Arial" w:cs="Arial"/>
      <w:kern w:val="0"/>
      <w:lang w:val="ru-RU" w:eastAsia="ru-R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32441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2440</Words>
  <Characters>13911</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16</cp:revision>
  <dcterms:created xsi:type="dcterms:W3CDTF">2023-11-08T06:12:00Z</dcterms:created>
  <dcterms:modified xsi:type="dcterms:W3CDTF">2024-07-17T12:36:00Z</dcterms:modified>
</cp:coreProperties>
</file>