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38" w:rsidRPr="00830616" w:rsidRDefault="0054654B">
      <w:pPr>
        <w:spacing w:line="276" w:lineRule="auto"/>
        <w:jc w:val="center"/>
        <w:rPr>
          <w:b/>
          <w:bCs/>
          <w:sz w:val="28"/>
          <w:szCs w:val="28"/>
          <w:lang w:val="uz-Latn-UZ"/>
        </w:rPr>
      </w:pPr>
      <w:r w:rsidRPr="00830616">
        <w:rPr>
          <w:b/>
          <w:bCs/>
          <w:noProof/>
          <w:color w:val="FF0000"/>
          <w:sz w:val="28"/>
          <w:szCs w:val="28"/>
          <w:lang w:val="ru-RU" w:eastAsia="ru-RU"/>
        </w:rPr>
        <w:drawing>
          <wp:inline distT="0" distB="0" distL="0" distR="0">
            <wp:extent cx="1125855" cy="1123950"/>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50464" cy="1148639"/>
                    </a:xfrm>
                    <a:prstGeom prst="rect">
                      <a:avLst/>
                    </a:prstGeom>
                    <a:noFill/>
                    <a:ln>
                      <a:noFill/>
                    </a:ln>
                  </pic:spPr>
                </pic:pic>
              </a:graphicData>
            </a:graphic>
          </wp:inline>
        </w:drawing>
      </w:r>
    </w:p>
    <w:p w:rsidR="00897838" w:rsidRPr="00830616" w:rsidRDefault="00897838">
      <w:pPr>
        <w:spacing w:line="276" w:lineRule="auto"/>
        <w:jc w:val="center"/>
        <w:rPr>
          <w:b/>
          <w:bCs/>
          <w:sz w:val="28"/>
          <w:szCs w:val="28"/>
          <w:lang w:val="uz-Latn-UZ"/>
        </w:rPr>
      </w:pPr>
    </w:p>
    <w:p w:rsidR="00897838" w:rsidRDefault="00830616" w:rsidP="00581E34">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 xml:space="preserve">TOSHKENT DAVLAT YURIDIK UNIVERSITETI BAKALAVR BOSQICHI YURISPRUDENSIYA TA’LIM DASTURI PROFILI </w:t>
      </w:r>
    </w:p>
    <w:p w:rsidR="00581E34" w:rsidRPr="00830616" w:rsidRDefault="00581E34" w:rsidP="00581E34">
      <w:pPr>
        <w:spacing w:after="0" w:line="276" w:lineRule="auto"/>
        <w:jc w:val="center"/>
        <w:rPr>
          <w:rFonts w:ascii="Times New Roman" w:hAnsi="Times New Roman" w:cs="Times New Roman"/>
          <w:b/>
          <w:bCs/>
          <w:sz w:val="24"/>
          <w:szCs w:val="24"/>
          <w:lang w:val="uz-Latn-UZ"/>
        </w:rPr>
      </w:pPr>
    </w:p>
    <w:tbl>
      <w:tblPr>
        <w:tblStyle w:val="ab"/>
        <w:tblW w:w="0" w:type="auto"/>
        <w:tblInd w:w="279" w:type="dxa"/>
        <w:tblLook w:val="04A0" w:firstRow="1" w:lastRow="0" w:firstColumn="1" w:lastColumn="0" w:noHBand="0" w:noVBand="1"/>
      </w:tblPr>
      <w:tblGrid>
        <w:gridCol w:w="4229"/>
        <w:gridCol w:w="4843"/>
      </w:tblGrid>
      <w:tr w:rsidR="00897838" w:rsidRPr="00830616" w:rsidTr="003217BD">
        <w:tc>
          <w:tcPr>
            <w:tcW w:w="4229" w:type="dxa"/>
          </w:tcPr>
          <w:p w:rsidR="00897838" w:rsidRPr="00830616" w:rsidRDefault="00830616">
            <w:pPr>
              <w:spacing w:after="0" w:line="276" w:lineRule="auto"/>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t>Daraja beruvchi muassasa</w:t>
            </w:r>
          </w:p>
        </w:tc>
        <w:tc>
          <w:tcPr>
            <w:tcW w:w="4843" w:type="dxa"/>
          </w:tcPr>
          <w:p w:rsidR="00897838" w:rsidRPr="00830616" w:rsidRDefault="0054654B">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TDYU</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 muassasasi</w:t>
            </w:r>
          </w:p>
        </w:tc>
        <w:tc>
          <w:tcPr>
            <w:tcW w:w="4843" w:type="dxa"/>
          </w:tcPr>
          <w:p w:rsidR="00897838" w:rsidRPr="00830616" w:rsidRDefault="0054654B">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TDYU</w:t>
            </w:r>
          </w:p>
        </w:tc>
      </w:tr>
      <w:tr w:rsidR="00897838" w:rsidRPr="00321261"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Nazorat qiluvchi tashkilotlar</w:t>
            </w:r>
          </w:p>
        </w:tc>
        <w:tc>
          <w:tcPr>
            <w:tcW w:w="4843" w:type="dxa"/>
          </w:tcPr>
          <w:p w:rsidR="00897838" w:rsidRPr="00830616" w:rsidRDefault="0054654B">
            <w:pPr>
              <w:spacing w:after="0" w:line="276" w:lineRule="auto"/>
              <w:jc w:val="center"/>
              <w:rPr>
                <w:rFonts w:ascii="Times New Roman" w:hAnsi="Times New Roman" w:cs="Times New Roman"/>
                <w:bCs/>
                <w:sz w:val="24"/>
                <w:szCs w:val="24"/>
                <w:lang w:val="uz-Latn-UZ"/>
              </w:rPr>
            </w:pPr>
            <w:r w:rsidRPr="00830616">
              <w:rPr>
                <w:rFonts w:ascii="Times New Roman" w:hAnsi="Times New Roman" w:cs="Times New Roman"/>
                <w:bCs/>
                <w:sz w:val="24"/>
                <w:szCs w:val="24"/>
                <w:lang w:val="uz-Latn-UZ"/>
              </w:rPr>
              <w:t xml:space="preserve">Adliya vazirligi (yuridik ta’lim bo‘yicha) </w:t>
            </w:r>
          </w:p>
          <w:p w:rsidR="00897838" w:rsidRPr="00830616" w:rsidRDefault="0054654B">
            <w:pPr>
              <w:spacing w:after="0" w:line="276" w:lineRule="auto"/>
              <w:jc w:val="center"/>
              <w:rPr>
                <w:rFonts w:ascii="Times New Roman" w:hAnsi="Times New Roman" w:cs="Times New Roman"/>
                <w:bCs/>
                <w:sz w:val="24"/>
                <w:szCs w:val="24"/>
                <w:lang w:val="uz-Latn-UZ"/>
              </w:rPr>
            </w:pPr>
            <w:r w:rsidRPr="00830616">
              <w:rPr>
                <w:rFonts w:ascii="Times New Roman" w:hAnsi="Times New Roman" w:cs="Times New Roman"/>
                <w:bCs/>
                <w:sz w:val="24"/>
                <w:szCs w:val="24"/>
                <w:lang w:val="uz-Latn-UZ"/>
              </w:rPr>
              <w:t>Oliy taʼlim, fan va innovatsiyalar vazirligi (umumiy ta’lim darajalari bo‘yicha)</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 muddati</w:t>
            </w:r>
          </w:p>
        </w:tc>
        <w:tc>
          <w:tcPr>
            <w:tcW w:w="4843" w:type="dxa"/>
          </w:tcPr>
          <w:p w:rsidR="00897838" w:rsidRPr="00830616" w:rsidRDefault="0054654B">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4 yil</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Beriladigan daraja</w:t>
            </w:r>
          </w:p>
        </w:tc>
        <w:tc>
          <w:tcPr>
            <w:tcW w:w="4843" w:type="dxa"/>
          </w:tcPr>
          <w:p w:rsidR="00897838" w:rsidRPr="00830616" w:rsidRDefault="0054654B">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Yurisprudensiya</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Yo‘nalish nomi</w:t>
            </w:r>
          </w:p>
        </w:tc>
        <w:tc>
          <w:tcPr>
            <w:tcW w:w="4843" w:type="dxa"/>
          </w:tcPr>
          <w:p w:rsidR="00897838" w:rsidRPr="00830616" w:rsidRDefault="0054654B">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Yurisprudensiya (faoliyat turlari bo‘yicha)</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Yo‘nalish kodi</w:t>
            </w:r>
          </w:p>
        </w:tc>
        <w:tc>
          <w:tcPr>
            <w:tcW w:w="4843" w:type="dxa"/>
          </w:tcPr>
          <w:p w:rsidR="00897838" w:rsidRPr="00830616" w:rsidRDefault="0054654B">
            <w:pPr>
              <w:spacing w:after="0" w:line="276" w:lineRule="auto"/>
              <w:jc w:val="center"/>
              <w:rPr>
                <w:rFonts w:ascii="Times New Roman" w:hAnsi="Times New Roman" w:cs="Times New Roman"/>
                <w:iCs/>
                <w:sz w:val="24"/>
                <w:szCs w:val="24"/>
                <w:lang w:val="uz-Latn-UZ"/>
              </w:rPr>
            </w:pPr>
            <w:r w:rsidRPr="00830616">
              <w:rPr>
                <w:rFonts w:ascii="Times New Roman" w:eastAsia="Calibri" w:hAnsi="Times New Roman" w:cs="Times New Roman"/>
                <w:sz w:val="24"/>
                <w:szCs w:val="24"/>
                <w:lang w:val="uz-Latn-UZ" w:bidi="ar"/>
              </w:rPr>
              <w:t>60420100</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Milliy malakalar tizimi</w:t>
            </w:r>
          </w:p>
        </w:tc>
        <w:tc>
          <w:tcPr>
            <w:tcW w:w="4843" w:type="dxa"/>
          </w:tcPr>
          <w:p w:rsidR="00897838" w:rsidRPr="00830616" w:rsidRDefault="0054654B" w:rsidP="00830616">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Milliy malaka</w:t>
            </w:r>
            <w:r w:rsidR="00A572B8">
              <w:rPr>
                <w:rFonts w:ascii="Times New Roman" w:hAnsi="Times New Roman" w:cs="Times New Roman"/>
                <w:sz w:val="24"/>
                <w:szCs w:val="24"/>
                <w:lang w:val="uz-Latn-UZ"/>
              </w:rPr>
              <w:t>lar</w:t>
            </w:r>
            <w:r w:rsidRPr="00830616">
              <w:rPr>
                <w:rFonts w:ascii="Times New Roman" w:hAnsi="Times New Roman" w:cs="Times New Roman"/>
                <w:sz w:val="24"/>
                <w:szCs w:val="24"/>
                <w:lang w:val="uz-Latn-UZ"/>
              </w:rPr>
              <w:t xml:space="preserve"> </w:t>
            </w:r>
            <w:r w:rsidR="00830616">
              <w:rPr>
                <w:rFonts w:ascii="Times New Roman" w:hAnsi="Times New Roman" w:cs="Times New Roman"/>
                <w:sz w:val="24"/>
                <w:szCs w:val="24"/>
                <w:lang w:val="uz-Latn-UZ"/>
              </w:rPr>
              <w:t>ramkasi</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Boshqa malakalar tizimi</w:t>
            </w:r>
          </w:p>
        </w:tc>
        <w:tc>
          <w:tcPr>
            <w:tcW w:w="4843" w:type="dxa"/>
          </w:tcPr>
          <w:p w:rsidR="00897838" w:rsidRPr="00830616" w:rsidRDefault="0054654B" w:rsidP="00830616">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Yevropa malaka</w:t>
            </w:r>
            <w:r w:rsidR="0085001D">
              <w:rPr>
                <w:rFonts w:ascii="Times New Roman" w:hAnsi="Times New Roman" w:cs="Times New Roman"/>
                <w:sz w:val="24"/>
                <w:szCs w:val="24"/>
                <w:lang w:val="uz-Latn-UZ"/>
              </w:rPr>
              <w:t>lar</w:t>
            </w:r>
            <w:r w:rsidRPr="00830616">
              <w:rPr>
                <w:rFonts w:ascii="Times New Roman" w:hAnsi="Times New Roman" w:cs="Times New Roman"/>
                <w:sz w:val="24"/>
                <w:szCs w:val="24"/>
                <w:lang w:val="uz-Latn-UZ"/>
              </w:rPr>
              <w:t xml:space="preserve"> </w:t>
            </w:r>
            <w:r w:rsidR="00830616">
              <w:rPr>
                <w:rFonts w:ascii="Times New Roman" w:hAnsi="Times New Roman" w:cs="Times New Roman"/>
                <w:sz w:val="24"/>
                <w:szCs w:val="24"/>
                <w:lang w:val="uz-Latn-UZ"/>
              </w:rPr>
              <w:t>ramkasi</w:t>
            </w:r>
            <w:r w:rsidRPr="00830616">
              <w:rPr>
                <w:rFonts w:ascii="Times New Roman" w:hAnsi="Times New Roman" w:cs="Times New Roman"/>
                <w:sz w:val="24"/>
                <w:szCs w:val="24"/>
                <w:lang w:val="uz-Latn-UZ"/>
              </w:rPr>
              <w:t xml:space="preserve"> 6-daraja</w:t>
            </w:r>
          </w:p>
        </w:tc>
      </w:tr>
      <w:tr w:rsidR="00897838" w:rsidRPr="00830616" w:rsidTr="003217BD">
        <w:tc>
          <w:tcPr>
            <w:tcW w:w="4229" w:type="dxa"/>
          </w:tcPr>
          <w:p w:rsidR="00897838" w:rsidRPr="00830616" w:rsidRDefault="0054654B">
            <w:pPr>
              <w:spacing w:after="0" w:line="276" w:lineRule="auto"/>
              <w:jc w:val="center"/>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 xml:space="preserve">Universitet Kengashi tomonidan tasdiqlangan sana </w:t>
            </w:r>
          </w:p>
        </w:tc>
        <w:tc>
          <w:tcPr>
            <w:tcW w:w="4843" w:type="dxa"/>
          </w:tcPr>
          <w:p w:rsidR="00897838" w:rsidRPr="00830616" w:rsidRDefault="0054654B" w:rsidP="00581E34">
            <w:pPr>
              <w:spacing w:after="0" w:line="276" w:lineRule="auto"/>
              <w:jc w:val="center"/>
              <w:rPr>
                <w:rFonts w:ascii="Times New Roman" w:hAnsi="Times New Roman" w:cs="Times New Roman"/>
                <w:sz w:val="24"/>
                <w:szCs w:val="24"/>
                <w:lang w:val="uz-Latn-UZ"/>
              </w:rPr>
            </w:pPr>
            <w:r w:rsidRPr="00830616">
              <w:rPr>
                <w:rFonts w:ascii="Times New Roman" w:hAnsi="Times New Roman" w:cs="Times New Roman"/>
                <w:sz w:val="24"/>
                <w:szCs w:val="24"/>
                <w:lang w:val="uz-Latn-UZ"/>
              </w:rPr>
              <w:t>2024-yil</w:t>
            </w:r>
            <w:r w:rsidR="00581E34">
              <w:rPr>
                <w:rFonts w:ascii="Times New Roman" w:hAnsi="Times New Roman" w:cs="Times New Roman"/>
                <w:sz w:val="24"/>
                <w:szCs w:val="24"/>
                <w:lang w:val="uz-Latn-UZ"/>
              </w:rPr>
              <w:t xml:space="preserve"> </w:t>
            </w:r>
            <w:r w:rsidR="00830616">
              <w:rPr>
                <w:rFonts w:ascii="Times New Roman" w:hAnsi="Times New Roman" w:cs="Times New Roman"/>
                <w:sz w:val="24"/>
                <w:szCs w:val="24"/>
                <w:lang w:val="uz-Latn-UZ"/>
              </w:rPr>
              <w:t>++</w:t>
            </w:r>
            <w:r w:rsidRPr="00830616">
              <w:rPr>
                <w:rFonts w:ascii="Times New Roman" w:hAnsi="Times New Roman" w:cs="Times New Roman"/>
                <w:sz w:val="24"/>
                <w:szCs w:val="24"/>
                <w:lang w:val="uz-Latn-UZ"/>
              </w:rPr>
              <w:t>avgust</w:t>
            </w:r>
          </w:p>
        </w:tc>
      </w:tr>
    </w:tbl>
    <w:p w:rsidR="00897838" w:rsidRPr="00830616" w:rsidRDefault="00897838">
      <w:pPr>
        <w:spacing w:line="276" w:lineRule="auto"/>
        <w:jc w:val="center"/>
        <w:rPr>
          <w:rFonts w:ascii="Times New Roman" w:hAnsi="Times New Roman" w:cs="Times New Roman"/>
          <w:b/>
          <w:bCs/>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Kirish</w:t>
      </w:r>
    </w:p>
    <w:p w:rsidR="00830616" w:rsidRPr="00830616" w:rsidRDefault="00830616" w:rsidP="00C7575F">
      <w:pPr>
        <w:spacing w:after="0" w:line="276" w:lineRule="auto"/>
        <w:ind w:firstLine="851"/>
        <w:jc w:val="both"/>
        <w:rPr>
          <w:rFonts w:ascii="Times New Roman" w:hAnsi="Times New Roman" w:cs="Times New Roman"/>
          <w:b/>
          <w:bCs/>
          <w:sz w:val="24"/>
          <w:szCs w:val="24"/>
          <w:lang w:val="uz-Latn-UZ"/>
        </w:rPr>
      </w:pPr>
    </w:p>
    <w:p w:rsidR="00897838" w:rsidRDefault="0054654B" w:rsidP="00C7575F">
      <w:pPr>
        <w:spacing w:after="0" w:line="276" w:lineRule="auto"/>
        <w:ind w:firstLine="851"/>
        <w:jc w:val="both"/>
        <w:rPr>
          <w:rFonts w:ascii="Times New Roman" w:eastAsia="Calibri" w:hAnsi="Times New Roman" w:cs="Times New Roman"/>
          <w:sz w:val="24"/>
          <w:szCs w:val="24"/>
          <w:lang w:val="uz-Latn-UZ" w:bidi="ar"/>
        </w:rPr>
      </w:pPr>
      <w:r w:rsidRPr="00830616">
        <w:rPr>
          <w:rFonts w:ascii="Times New Roman" w:hAnsi="Times New Roman" w:cs="Times New Roman"/>
          <w:sz w:val="24"/>
          <w:szCs w:val="24"/>
          <w:lang w:val="uz-Latn-UZ"/>
        </w:rPr>
        <w:t xml:space="preserve">Mazkur dastur spetsifikatsiyasi Toshkent davlat yuridik universiteti yuridik ta’lim bo‘yicha barcha bakalavr dasturlarini qamrab oladi. Mazkur hujjatda ko‘rsatilgan ma’lumotlatlar Toshkent davlat yuridik universitetida Yurisprudensiya ta’lim yo‘nalishini muvaffaqiyatli tamomlaydigan talabalardan kutiladigan umumiy taʼlim maqsadlari va o‘quv natijalarin batafsil belgilab beradi. Spetsifikatsiya, shuningdek, dasturning akkreditatsiyasi, qabul talablari, TDYUda amalga oshiriladigan o‘quv va ta’lim strategiyalari, o‘qitishda qoʻllaniladigan baholash usullari va mezonlari, </w:t>
      </w:r>
      <w:r w:rsidRPr="00830616">
        <w:rPr>
          <w:rFonts w:ascii="Times New Roman" w:eastAsia="Calibri" w:hAnsi="Times New Roman" w:cs="Times New Roman"/>
          <w:sz w:val="24"/>
          <w:szCs w:val="24"/>
          <w:lang w:val="uz-Latn-UZ" w:bidi="ar"/>
        </w:rPr>
        <w:t>talabalar uchun taqdim etiladigan imkoniyatlar hamda ta’lim sifati nazoratini amalga oshirilish mexanizmi, tegishli ta’lim standartlarining nazorati va istiqbolli rivojlantirilish ma’lumotlarini o‘z ichiga oladi.</w:t>
      </w:r>
    </w:p>
    <w:p w:rsidR="00830616" w:rsidRPr="00830616" w:rsidRDefault="00830616" w:rsidP="00C7575F">
      <w:pPr>
        <w:spacing w:after="0" w:line="276" w:lineRule="auto"/>
        <w:ind w:firstLine="851"/>
        <w:jc w:val="both"/>
        <w:rPr>
          <w:rFonts w:ascii="Times New Roman" w:eastAsia="Calibri" w:hAnsi="Times New Roman" w:cs="Times New Roman"/>
          <w:sz w:val="24"/>
          <w:szCs w:val="24"/>
          <w:lang w:val="uz-Latn-UZ" w:bidi="ar"/>
        </w:rPr>
      </w:pPr>
    </w:p>
    <w:p w:rsidR="00897838" w:rsidRDefault="00830616" w:rsidP="00C7575F">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Ta’lim dasturi</w:t>
      </w:r>
      <w:r w:rsidR="0054654B" w:rsidRPr="00830616">
        <w:rPr>
          <w:rFonts w:ascii="Times New Roman" w:hAnsi="Times New Roman" w:cs="Times New Roman"/>
          <w:b/>
          <w:bCs/>
          <w:sz w:val="24"/>
          <w:szCs w:val="24"/>
          <w:lang w:val="uz-Latn-UZ"/>
        </w:rPr>
        <w:t xml:space="preserve"> va darajasi</w:t>
      </w:r>
    </w:p>
    <w:p w:rsidR="00830616" w:rsidRPr="00830616" w:rsidRDefault="00830616" w:rsidP="00C7575F">
      <w:pPr>
        <w:spacing w:after="0" w:line="276" w:lineRule="auto"/>
        <w:ind w:firstLine="851"/>
        <w:jc w:val="both"/>
        <w:rPr>
          <w:rFonts w:ascii="Times New Roman" w:hAnsi="Times New Roman" w:cs="Times New Roman"/>
          <w:b/>
          <w:bCs/>
          <w:sz w:val="24"/>
          <w:szCs w:val="24"/>
          <w:highlight w:val="yellow"/>
          <w:lang w:val="uz-Latn-UZ"/>
        </w:rPr>
      </w:pPr>
    </w:p>
    <w:p w:rsidR="00897838" w:rsidRPr="00830616" w:rsidRDefault="003217BD"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Yuridik ta’lim bo‘yicha bakalavr yo‘nalishi</w:t>
      </w:r>
      <w:r w:rsidR="0054654B" w:rsidRPr="00830616">
        <w:rPr>
          <w:rFonts w:ascii="Times New Roman" w:hAnsi="Times New Roman"/>
          <w:sz w:val="24"/>
          <w:szCs w:val="24"/>
          <w:lang w:val="uz-Latn-UZ"/>
        </w:rPr>
        <w:t xml:space="preserve"> quyidagicha nomlanadi:</w:t>
      </w:r>
    </w:p>
    <w:p w:rsidR="00897838" w:rsidRPr="00830616" w:rsidRDefault="00897838" w:rsidP="00C7575F">
      <w:pPr>
        <w:pStyle w:val="msonospacing0"/>
        <w:spacing w:line="276" w:lineRule="auto"/>
        <w:ind w:firstLine="851"/>
        <w:jc w:val="both"/>
        <w:rPr>
          <w:rFonts w:ascii="Times New Roman" w:hAnsi="Times New Roman"/>
          <w:sz w:val="24"/>
          <w:szCs w:val="24"/>
          <w:lang w:val="uz-Latn-UZ"/>
        </w:rPr>
      </w:pPr>
    </w:p>
    <w:p w:rsidR="00D553AE" w:rsidRDefault="0054654B"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60420100 – Yurisprudensiya</w:t>
      </w:r>
      <w:r w:rsidR="00830616">
        <w:rPr>
          <w:rFonts w:ascii="Times New Roman" w:hAnsi="Times New Roman"/>
          <w:sz w:val="24"/>
          <w:szCs w:val="24"/>
          <w:lang w:val="uz-Latn-UZ"/>
        </w:rPr>
        <w:t xml:space="preserve">. </w:t>
      </w:r>
    </w:p>
    <w:p w:rsidR="00D553AE" w:rsidRDefault="00D553AE" w:rsidP="00C7575F">
      <w:pPr>
        <w:pStyle w:val="msonospacing0"/>
        <w:spacing w:line="276" w:lineRule="auto"/>
        <w:ind w:firstLine="851"/>
        <w:jc w:val="both"/>
        <w:rPr>
          <w:rFonts w:ascii="Times New Roman" w:hAnsi="Times New Roman"/>
          <w:sz w:val="24"/>
          <w:szCs w:val="24"/>
          <w:lang w:val="uz-Latn-UZ"/>
        </w:rPr>
      </w:pPr>
    </w:p>
    <w:p w:rsidR="00897838" w:rsidRPr="00830616" w:rsidRDefault="00830616" w:rsidP="00C7575F">
      <w:pPr>
        <w:pStyle w:val="msonospacing0"/>
        <w:spacing w:line="276" w:lineRule="auto"/>
        <w:ind w:firstLine="851"/>
        <w:jc w:val="both"/>
        <w:rPr>
          <w:rFonts w:ascii="Times New Roman" w:hAnsi="Times New Roman"/>
          <w:sz w:val="24"/>
          <w:szCs w:val="24"/>
          <w:lang w:val="uz-Latn-UZ"/>
        </w:rPr>
      </w:pPr>
      <w:r>
        <w:rPr>
          <w:rFonts w:ascii="Times New Roman" w:hAnsi="Times New Roman"/>
          <w:sz w:val="24"/>
          <w:szCs w:val="24"/>
          <w:lang w:val="uz-Latn-UZ"/>
        </w:rPr>
        <w:lastRenderedPageBreak/>
        <w:t>Ushbu ta’lim dasturi quyidagi yo‘nalishlarda</w:t>
      </w:r>
      <w:r w:rsidR="003217BD" w:rsidRPr="00830616">
        <w:rPr>
          <w:rFonts w:ascii="Times New Roman" w:hAnsi="Times New Roman"/>
          <w:sz w:val="24"/>
          <w:szCs w:val="24"/>
          <w:lang w:val="uz-Latn-UZ"/>
        </w:rPr>
        <w:t xml:space="preserve"> </w:t>
      </w:r>
      <w:r>
        <w:rPr>
          <w:rFonts w:ascii="Times New Roman" w:hAnsi="Times New Roman"/>
          <w:sz w:val="24"/>
          <w:szCs w:val="24"/>
          <w:lang w:val="uz-Latn-UZ"/>
        </w:rPr>
        <w:t>o‘qitiladi</w:t>
      </w:r>
      <w:r w:rsidR="0054654B" w:rsidRPr="00830616">
        <w:rPr>
          <w:rFonts w:ascii="Times New Roman" w:hAnsi="Times New Roman"/>
          <w:sz w:val="24"/>
          <w:szCs w:val="24"/>
          <w:lang w:val="uz-Latn-UZ"/>
        </w:rPr>
        <w:t xml:space="preserve">: </w:t>
      </w:r>
    </w:p>
    <w:p w:rsidR="00897838" w:rsidRPr="00830616" w:rsidRDefault="00897838" w:rsidP="00C7575F">
      <w:pPr>
        <w:pStyle w:val="msonospacing0"/>
        <w:spacing w:line="276" w:lineRule="auto"/>
        <w:ind w:firstLine="851"/>
        <w:jc w:val="both"/>
        <w:rPr>
          <w:rFonts w:ascii="Times New Roman" w:hAnsi="Times New Roman"/>
          <w:sz w:val="24"/>
          <w:szCs w:val="24"/>
          <w:lang w:val="uz-Latn-UZ"/>
        </w:rPr>
      </w:pPr>
    </w:p>
    <w:p w:rsidR="00897838" w:rsidRPr="00830616" w:rsidRDefault="0054654B"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1. Ommaviy</w:t>
      </w:r>
      <w:r w:rsidR="00830616">
        <w:rPr>
          <w:rFonts w:ascii="Times New Roman" w:hAnsi="Times New Roman"/>
          <w:sz w:val="24"/>
          <w:szCs w:val="24"/>
          <w:lang w:val="uz-Latn-UZ"/>
        </w:rPr>
        <w:t xml:space="preserve"> </w:t>
      </w:r>
      <w:r w:rsidR="00B80D5E">
        <w:rPr>
          <w:rFonts w:ascii="Times New Roman" w:hAnsi="Times New Roman"/>
          <w:sz w:val="24"/>
          <w:szCs w:val="24"/>
          <w:lang w:val="uz-Latn-UZ"/>
        </w:rPr>
        <w:t>huquq</w:t>
      </w:r>
      <w:r w:rsidR="00830616">
        <w:rPr>
          <w:rFonts w:ascii="Times New Roman" w:hAnsi="Times New Roman"/>
          <w:sz w:val="24"/>
          <w:szCs w:val="24"/>
          <w:lang w:val="uz-Latn-UZ"/>
        </w:rPr>
        <w:t>.</w:t>
      </w:r>
      <w:r w:rsidRPr="00830616">
        <w:rPr>
          <w:rFonts w:ascii="Times New Roman" w:hAnsi="Times New Roman"/>
          <w:sz w:val="24"/>
          <w:szCs w:val="24"/>
          <w:lang w:val="uz-Latn-UZ"/>
        </w:rPr>
        <w:t xml:space="preserve"> </w:t>
      </w:r>
    </w:p>
    <w:p w:rsidR="00897838" w:rsidRPr="00830616" w:rsidRDefault="0054654B"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 xml:space="preserve">2. </w:t>
      </w:r>
      <w:r w:rsidR="00830616">
        <w:rPr>
          <w:rFonts w:ascii="Times New Roman" w:hAnsi="Times New Roman"/>
          <w:sz w:val="24"/>
          <w:szCs w:val="24"/>
          <w:lang w:val="uz-Latn-UZ"/>
        </w:rPr>
        <w:t>Xususiy huquq.</w:t>
      </w:r>
    </w:p>
    <w:p w:rsidR="00897838" w:rsidRPr="00830616" w:rsidRDefault="00830616" w:rsidP="00C7575F">
      <w:pPr>
        <w:pStyle w:val="msonospacing0"/>
        <w:spacing w:line="276" w:lineRule="auto"/>
        <w:ind w:firstLine="851"/>
        <w:jc w:val="both"/>
        <w:rPr>
          <w:rFonts w:ascii="Times New Roman" w:hAnsi="Times New Roman"/>
          <w:sz w:val="24"/>
          <w:szCs w:val="24"/>
          <w:lang w:val="uz-Latn-UZ"/>
        </w:rPr>
      </w:pPr>
      <w:r>
        <w:rPr>
          <w:rFonts w:ascii="Times New Roman" w:hAnsi="Times New Roman"/>
          <w:sz w:val="24"/>
          <w:szCs w:val="24"/>
          <w:lang w:val="uz-Latn-UZ"/>
        </w:rPr>
        <w:t xml:space="preserve">3. Jinoiy odil sudlov. </w:t>
      </w:r>
    </w:p>
    <w:p w:rsidR="00897838" w:rsidRPr="00830616" w:rsidRDefault="003217BD"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4. Xalqaro huquq va</w:t>
      </w:r>
      <w:r w:rsidR="0054654B" w:rsidRPr="00830616">
        <w:rPr>
          <w:rFonts w:ascii="Times New Roman" w:hAnsi="Times New Roman"/>
          <w:sz w:val="24"/>
          <w:szCs w:val="24"/>
          <w:lang w:val="uz-Latn-UZ"/>
        </w:rPr>
        <w:t xml:space="preserve"> qiyosiy huquqshunoslik</w:t>
      </w:r>
      <w:r w:rsidR="00B80D5E">
        <w:rPr>
          <w:rFonts w:ascii="Times New Roman" w:hAnsi="Times New Roman"/>
          <w:sz w:val="24"/>
          <w:szCs w:val="24"/>
          <w:lang w:val="uz-Latn-UZ"/>
        </w:rPr>
        <w:t>.</w:t>
      </w:r>
    </w:p>
    <w:p w:rsidR="00897838" w:rsidRPr="00830616" w:rsidRDefault="00897838" w:rsidP="00C7575F">
      <w:pPr>
        <w:pStyle w:val="msonospacing0"/>
        <w:spacing w:line="276" w:lineRule="auto"/>
        <w:ind w:firstLine="851"/>
        <w:jc w:val="both"/>
        <w:rPr>
          <w:rFonts w:ascii="Times New Roman" w:hAnsi="Times New Roman"/>
          <w:sz w:val="24"/>
          <w:szCs w:val="24"/>
          <w:lang w:val="uz-Latn-UZ"/>
        </w:rPr>
      </w:pPr>
    </w:p>
    <w:p w:rsidR="00897838" w:rsidRPr="00830616" w:rsidRDefault="003217BD"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Har bir o‘quv ixtisoslig</w:t>
      </w:r>
      <w:r w:rsidR="0054654B" w:rsidRPr="00830616">
        <w:rPr>
          <w:rFonts w:ascii="Times New Roman" w:hAnsi="Times New Roman"/>
          <w:sz w:val="24"/>
          <w:szCs w:val="24"/>
          <w:lang w:val="uz-Latn-UZ"/>
        </w:rPr>
        <w:t>ini quyidagicha umumlashtirish mumkin:</w:t>
      </w:r>
    </w:p>
    <w:p w:rsidR="00897838" w:rsidRPr="00830616" w:rsidRDefault="00897838" w:rsidP="00C7575F">
      <w:pPr>
        <w:pStyle w:val="msonospacing0"/>
        <w:spacing w:line="276" w:lineRule="auto"/>
        <w:ind w:firstLine="851"/>
        <w:jc w:val="both"/>
        <w:rPr>
          <w:rFonts w:ascii="Times New Roman" w:hAnsi="Times New Roman"/>
          <w:sz w:val="24"/>
          <w:szCs w:val="24"/>
          <w:highlight w:val="yellow"/>
          <w:lang w:val="uz-Latn-UZ"/>
        </w:rPr>
      </w:pPr>
    </w:p>
    <w:p w:rsidR="00897838" w:rsidRPr="00830616" w:rsidRDefault="0054654B" w:rsidP="00C7575F">
      <w:pPr>
        <w:pStyle w:val="msonospacing0"/>
        <w:spacing w:line="276" w:lineRule="auto"/>
        <w:ind w:firstLine="851"/>
        <w:jc w:val="both"/>
        <w:rPr>
          <w:rFonts w:ascii="Times New Roman" w:hAnsi="Times New Roman"/>
          <w:b/>
          <w:bCs/>
          <w:sz w:val="24"/>
          <w:szCs w:val="24"/>
          <w:lang w:val="uz-Latn-UZ"/>
        </w:rPr>
      </w:pPr>
      <w:r w:rsidRPr="00830616">
        <w:rPr>
          <w:rFonts w:ascii="Times New Roman" w:hAnsi="Times New Roman"/>
          <w:b/>
          <w:bCs/>
          <w:sz w:val="24"/>
          <w:szCs w:val="24"/>
          <w:lang w:val="uz-Latn-UZ"/>
        </w:rPr>
        <w:t xml:space="preserve">1. Ommaviy huquq </w:t>
      </w:r>
    </w:p>
    <w:p w:rsidR="00897838" w:rsidRPr="00830616" w:rsidRDefault="00897838" w:rsidP="00C7575F">
      <w:pPr>
        <w:pStyle w:val="msonospacing0"/>
        <w:spacing w:line="276" w:lineRule="auto"/>
        <w:ind w:firstLine="851"/>
        <w:jc w:val="both"/>
        <w:rPr>
          <w:rFonts w:ascii="Times New Roman" w:hAnsi="Times New Roman"/>
          <w:sz w:val="24"/>
          <w:szCs w:val="24"/>
          <w:lang w:val="uz-Latn-UZ"/>
        </w:rPr>
      </w:pPr>
    </w:p>
    <w:p w:rsidR="00897838" w:rsidRPr="00830616" w:rsidRDefault="0054654B"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 xml:space="preserve">Ommaviy huquq yo‘nalishi talabalarga </w:t>
      </w:r>
      <w:r w:rsidR="00B80D5E">
        <w:rPr>
          <w:rFonts w:ascii="Times New Roman" w:hAnsi="Times New Roman"/>
          <w:sz w:val="24"/>
          <w:szCs w:val="24"/>
          <w:lang w:val="uz-Latn-UZ"/>
        </w:rPr>
        <w:t>d</w:t>
      </w:r>
      <w:r w:rsidRPr="00830616">
        <w:rPr>
          <w:rFonts w:ascii="Times New Roman" w:hAnsi="Times New Roman"/>
          <w:sz w:val="24"/>
          <w:szCs w:val="24"/>
          <w:lang w:val="uz-Latn-UZ"/>
        </w:rPr>
        <w:t>avlat va huquq nazariyasi, konstitutsiyaviy huquq, ma’muriy huquq, ma’muriy tartib-</w:t>
      </w:r>
      <w:r w:rsidR="00B80D5E">
        <w:rPr>
          <w:rFonts w:ascii="Times New Roman" w:hAnsi="Times New Roman"/>
          <w:sz w:val="24"/>
          <w:szCs w:val="24"/>
          <w:lang w:val="uz-Latn-UZ"/>
        </w:rPr>
        <w:t>taomillar</w:t>
      </w:r>
      <w:r w:rsidRPr="00830616">
        <w:rPr>
          <w:rFonts w:ascii="Times New Roman" w:hAnsi="Times New Roman"/>
          <w:sz w:val="24"/>
          <w:szCs w:val="24"/>
          <w:lang w:val="uz-Latn-UZ"/>
        </w:rPr>
        <w:t xml:space="preserve">, yuridik texnika va parlament huquqiga oid asosiy </w:t>
      </w:r>
      <w:r w:rsidR="00B80D5E">
        <w:rPr>
          <w:rFonts w:ascii="Times New Roman" w:hAnsi="Times New Roman"/>
          <w:sz w:val="24"/>
          <w:szCs w:val="24"/>
          <w:lang w:val="uz-Latn-UZ"/>
        </w:rPr>
        <w:t>prinsiplar</w:t>
      </w:r>
      <w:r w:rsidRPr="00830616">
        <w:rPr>
          <w:rFonts w:ascii="Times New Roman" w:hAnsi="Times New Roman"/>
          <w:sz w:val="24"/>
          <w:szCs w:val="24"/>
          <w:lang w:val="uz-Latn-UZ"/>
        </w:rPr>
        <w:t xml:space="preserve"> va ko‘nikmalarni o‘rganish imkoniyatini beradi. Mazkur yoʻnalish davlat organlari (Oliy Majlis, Vazirlar Mahkamasi va idoralar), sudlar, prokuratura, adliya va boshqa huquqni muhofaza qiluvchi organlarda ishlash istagida boʻlgan talabalar uchun eng maqbuli hisoblanadi. </w:t>
      </w:r>
    </w:p>
    <w:p w:rsidR="00897838" w:rsidRPr="00830616" w:rsidRDefault="00897838" w:rsidP="00C7575F">
      <w:pPr>
        <w:pStyle w:val="msonospacing0"/>
        <w:spacing w:line="276" w:lineRule="auto"/>
        <w:ind w:firstLine="851"/>
        <w:jc w:val="both"/>
        <w:rPr>
          <w:rFonts w:ascii="Times New Roman" w:hAnsi="Times New Roman"/>
          <w:sz w:val="24"/>
          <w:szCs w:val="24"/>
          <w:lang w:val="uz-Latn-UZ"/>
        </w:rPr>
      </w:pPr>
    </w:p>
    <w:p w:rsidR="00897838" w:rsidRPr="00830616" w:rsidRDefault="0054654B" w:rsidP="00C7575F">
      <w:pPr>
        <w:pStyle w:val="msonospacing0"/>
        <w:spacing w:line="276" w:lineRule="auto"/>
        <w:ind w:firstLine="851"/>
        <w:jc w:val="both"/>
        <w:rPr>
          <w:rFonts w:ascii="Times New Roman" w:hAnsi="Times New Roman"/>
          <w:b/>
          <w:bCs/>
          <w:sz w:val="24"/>
          <w:szCs w:val="24"/>
          <w:lang w:val="uz-Latn-UZ"/>
        </w:rPr>
      </w:pPr>
      <w:r w:rsidRPr="00830616">
        <w:rPr>
          <w:rFonts w:ascii="Times New Roman" w:hAnsi="Times New Roman"/>
          <w:b/>
          <w:bCs/>
          <w:sz w:val="24"/>
          <w:szCs w:val="24"/>
          <w:lang w:val="uz-Latn-UZ"/>
        </w:rPr>
        <w:t xml:space="preserve">2. </w:t>
      </w:r>
      <w:r w:rsidR="00B80D5E">
        <w:rPr>
          <w:rFonts w:ascii="Times New Roman" w:hAnsi="Times New Roman"/>
          <w:b/>
          <w:bCs/>
          <w:sz w:val="24"/>
          <w:szCs w:val="24"/>
          <w:lang w:val="uz-Latn-UZ"/>
        </w:rPr>
        <w:t>Xususiy</w:t>
      </w:r>
      <w:r w:rsidRPr="00830616">
        <w:rPr>
          <w:rFonts w:ascii="Times New Roman" w:hAnsi="Times New Roman"/>
          <w:b/>
          <w:bCs/>
          <w:sz w:val="24"/>
          <w:szCs w:val="24"/>
          <w:lang w:val="uz-Latn-UZ"/>
        </w:rPr>
        <w:t xml:space="preserve"> huquq</w:t>
      </w:r>
    </w:p>
    <w:p w:rsidR="00897838" w:rsidRPr="00830616" w:rsidRDefault="00897838" w:rsidP="00C7575F">
      <w:pPr>
        <w:pStyle w:val="msonospacing0"/>
        <w:spacing w:line="276" w:lineRule="auto"/>
        <w:ind w:firstLine="851"/>
        <w:jc w:val="both"/>
        <w:rPr>
          <w:rFonts w:ascii="Times New Roman" w:hAnsi="Times New Roman"/>
          <w:b/>
          <w:bCs/>
          <w:sz w:val="24"/>
          <w:szCs w:val="24"/>
          <w:lang w:val="uz-Latn-UZ"/>
        </w:rPr>
      </w:pPr>
    </w:p>
    <w:p w:rsidR="00897838" w:rsidRPr="00830616" w:rsidRDefault="00B80D5E" w:rsidP="00C7575F">
      <w:pPr>
        <w:pStyle w:val="msonospacing0"/>
        <w:spacing w:line="276" w:lineRule="auto"/>
        <w:ind w:firstLine="851"/>
        <w:jc w:val="both"/>
        <w:rPr>
          <w:rFonts w:ascii="Times New Roman" w:hAnsi="Times New Roman"/>
          <w:sz w:val="24"/>
          <w:szCs w:val="24"/>
          <w:lang w:val="uz-Latn-UZ"/>
        </w:rPr>
      </w:pPr>
      <w:r>
        <w:rPr>
          <w:rFonts w:ascii="Times New Roman" w:hAnsi="Times New Roman"/>
          <w:sz w:val="24"/>
          <w:szCs w:val="24"/>
          <w:lang w:val="uz-Latn-UZ"/>
        </w:rPr>
        <w:t>Xususiy huquq</w:t>
      </w:r>
      <w:r w:rsidR="0054654B" w:rsidRPr="00830616">
        <w:rPr>
          <w:rFonts w:ascii="Times New Roman" w:hAnsi="Times New Roman"/>
          <w:sz w:val="24"/>
          <w:szCs w:val="24"/>
          <w:lang w:val="uz-Latn-UZ"/>
        </w:rPr>
        <w:t xml:space="preserve"> yo‘nalishi talabalarga </w:t>
      </w:r>
      <w:r>
        <w:rPr>
          <w:rFonts w:ascii="Times New Roman" w:hAnsi="Times New Roman"/>
          <w:sz w:val="24"/>
          <w:szCs w:val="24"/>
          <w:lang w:val="uz-Latn-UZ"/>
        </w:rPr>
        <w:t>f</w:t>
      </w:r>
      <w:r w:rsidR="0054654B" w:rsidRPr="00830616">
        <w:rPr>
          <w:rFonts w:ascii="Times New Roman" w:hAnsi="Times New Roman"/>
          <w:sz w:val="24"/>
          <w:szCs w:val="24"/>
          <w:lang w:val="uz-Latn-UZ"/>
        </w:rPr>
        <w:t xml:space="preserve">uqarolik huquqi, </w:t>
      </w:r>
      <w:r>
        <w:rPr>
          <w:rFonts w:ascii="Times New Roman" w:hAnsi="Times New Roman"/>
          <w:sz w:val="24"/>
          <w:szCs w:val="24"/>
          <w:lang w:val="uz-Latn-UZ"/>
        </w:rPr>
        <w:t>b</w:t>
      </w:r>
      <w:r w:rsidR="0054654B" w:rsidRPr="00830616">
        <w:rPr>
          <w:rFonts w:ascii="Times New Roman" w:hAnsi="Times New Roman"/>
          <w:sz w:val="24"/>
          <w:szCs w:val="24"/>
          <w:lang w:val="uz-Latn-UZ"/>
        </w:rPr>
        <w:t xml:space="preserve">iznes huquqi, </w:t>
      </w:r>
      <w:r>
        <w:rPr>
          <w:rFonts w:ascii="Times New Roman" w:hAnsi="Times New Roman"/>
          <w:sz w:val="24"/>
          <w:szCs w:val="24"/>
          <w:lang w:val="uz-Latn-UZ"/>
        </w:rPr>
        <w:t>i</w:t>
      </w:r>
      <w:r w:rsidR="0054654B" w:rsidRPr="00830616">
        <w:rPr>
          <w:rFonts w:ascii="Times New Roman" w:hAnsi="Times New Roman"/>
          <w:sz w:val="24"/>
          <w:szCs w:val="24"/>
          <w:lang w:val="uz-Latn-UZ"/>
        </w:rPr>
        <w:t xml:space="preserve">ntellektual mulk huquqi, </w:t>
      </w:r>
      <w:r>
        <w:rPr>
          <w:rFonts w:ascii="Times New Roman" w:hAnsi="Times New Roman"/>
          <w:sz w:val="24"/>
          <w:szCs w:val="24"/>
          <w:lang w:val="uz-Latn-UZ"/>
        </w:rPr>
        <w:t>m</w:t>
      </w:r>
      <w:r w:rsidR="0054654B" w:rsidRPr="00830616">
        <w:rPr>
          <w:rFonts w:ascii="Times New Roman" w:hAnsi="Times New Roman"/>
          <w:sz w:val="24"/>
          <w:szCs w:val="24"/>
          <w:lang w:val="uz-Latn-UZ"/>
        </w:rPr>
        <w:t xml:space="preserve">ehnat huquqi, </w:t>
      </w:r>
      <w:r>
        <w:rPr>
          <w:rFonts w:ascii="Times New Roman" w:hAnsi="Times New Roman"/>
          <w:sz w:val="24"/>
          <w:szCs w:val="24"/>
          <w:lang w:val="uz-Latn-UZ"/>
        </w:rPr>
        <w:t>f</w:t>
      </w:r>
      <w:r w:rsidR="0054654B" w:rsidRPr="00830616">
        <w:rPr>
          <w:rFonts w:ascii="Times New Roman" w:hAnsi="Times New Roman"/>
          <w:sz w:val="24"/>
          <w:szCs w:val="24"/>
          <w:lang w:val="uz-Latn-UZ"/>
        </w:rPr>
        <w:t>uqarolik protsessual va xo‘jalik protsessual huquqi bo‘yicha chuqur bilim va ko‘nikmalarga ega bo‘lish imkoniyatini beradi.</w:t>
      </w:r>
    </w:p>
    <w:p w:rsidR="00897838" w:rsidRPr="00830616" w:rsidRDefault="0054654B" w:rsidP="00C7575F">
      <w:pPr>
        <w:pStyle w:val="msonospacing0"/>
        <w:spacing w:line="276" w:lineRule="auto"/>
        <w:ind w:firstLine="851"/>
        <w:jc w:val="both"/>
        <w:rPr>
          <w:rFonts w:ascii="Times New Roman" w:hAnsi="Times New Roman"/>
          <w:sz w:val="24"/>
          <w:szCs w:val="24"/>
          <w:lang w:val="uz-Latn-UZ"/>
        </w:rPr>
      </w:pPr>
      <w:r w:rsidRPr="00830616">
        <w:rPr>
          <w:rFonts w:ascii="Times New Roman" w:hAnsi="Times New Roman"/>
          <w:sz w:val="24"/>
          <w:szCs w:val="24"/>
          <w:lang w:val="uz-Latn-UZ"/>
        </w:rPr>
        <w:t>Mazkur yo‘nalish tijorat dunyosiga va ushbu kontekstda yuzaga kelishi mumkin bo‘lgan nizolarga  qiziqqan va kelajakda “biznes yuristi” sifatida faoliyat olib borishni xohlaydigan salohiyatli talabalar uchun mos.</w:t>
      </w:r>
    </w:p>
    <w:p w:rsidR="00897838" w:rsidRPr="00830616" w:rsidRDefault="00897838" w:rsidP="00C7575F">
      <w:pPr>
        <w:pStyle w:val="msonospacing0"/>
        <w:spacing w:line="276" w:lineRule="auto"/>
        <w:ind w:firstLine="851"/>
        <w:jc w:val="both"/>
        <w:rPr>
          <w:rFonts w:ascii="Times New Roman" w:hAnsi="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 xml:space="preserve">3. Jinoyat huquqi </w:t>
      </w:r>
    </w:p>
    <w:p w:rsidR="00B80D5E" w:rsidRPr="00830616" w:rsidRDefault="00B80D5E" w:rsidP="00C7575F">
      <w:pPr>
        <w:spacing w:after="0" w:line="276" w:lineRule="auto"/>
        <w:ind w:firstLine="851"/>
        <w:jc w:val="both"/>
        <w:rPr>
          <w:rFonts w:ascii="Times New Roman" w:hAnsi="Times New Roman" w:cs="Times New Roman"/>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Jinoyat huquqi talabalarga </w:t>
      </w:r>
      <w:r w:rsidR="00B80D5E">
        <w:rPr>
          <w:rFonts w:ascii="Times New Roman" w:hAnsi="Times New Roman" w:cs="Times New Roman"/>
          <w:sz w:val="24"/>
          <w:szCs w:val="24"/>
          <w:lang w:val="uz-Latn-UZ"/>
        </w:rPr>
        <w:t>j</w:t>
      </w:r>
      <w:r w:rsidRPr="00830616">
        <w:rPr>
          <w:rFonts w:ascii="Times New Roman" w:hAnsi="Times New Roman" w:cs="Times New Roman"/>
          <w:sz w:val="24"/>
          <w:szCs w:val="24"/>
          <w:lang w:val="uz-Latn-UZ"/>
        </w:rPr>
        <w:t xml:space="preserve">inoyat huquqi, </w:t>
      </w:r>
      <w:r w:rsidR="00B80D5E">
        <w:rPr>
          <w:rFonts w:ascii="Times New Roman" w:hAnsi="Times New Roman" w:cs="Times New Roman"/>
          <w:sz w:val="24"/>
          <w:szCs w:val="24"/>
          <w:lang w:val="uz-Latn-UZ"/>
        </w:rPr>
        <w:t>j</w:t>
      </w:r>
      <w:r w:rsidRPr="00830616">
        <w:rPr>
          <w:rFonts w:ascii="Times New Roman" w:hAnsi="Times New Roman" w:cs="Times New Roman"/>
          <w:sz w:val="24"/>
          <w:szCs w:val="24"/>
          <w:lang w:val="uz-Latn-UZ"/>
        </w:rPr>
        <w:t xml:space="preserve">inoyat-protsessual, </w:t>
      </w:r>
      <w:r w:rsidR="00B80D5E">
        <w:rPr>
          <w:rFonts w:ascii="Times New Roman" w:hAnsi="Times New Roman" w:cs="Times New Roman"/>
          <w:sz w:val="24"/>
          <w:szCs w:val="24"/>
          <w:lang w:val="uz-Latn-UZ"/>
        </w:rPr>
        <w:t>j</w:t>
      </w:r>
      <w:r w:rsidRPr="00830616">
        <w:rPr>
          <w:rFonts w:ascii="Times New Roman" w:hAnsi="Times New Roman" w:cs="Times New Roman"/>
          <w:sz w:val="24"/>
          <w:szCs w:val="24"/>
          <w:lang w:val="uz-Latn-UZ"/>
        </w:rPr>
        <w:t xml:space="preserve">inoiy </w:t>
      </w:r>
      <w:r w:rsidR="00B80D5E">
        <w:rPr>
          <w:rFonts w:ascii="Times New Roman" w:hAnsi="Times New Roman" w:cs="Times New Roman"/>
          <w:sz w:val="24"/>
          <w:szCs w:val="24"/>
          <w:lang w:val="uz-Latn-UZ"/>
        </w:rPr>
        <w:t>ijroiya</w:t>
      </w:r>
      <w:r w:rsidRPr="00830616">
        <w:rPr>
          <w:rFonts w:ascii="Times New Roman" w:hAnsi="Times New Roman" w:cs="Times New Roman"/>
          <w:sz w:val="24"/>
          <w:szCs w:val="24"/>
          <w:lang w:val="uz-Latn-UZ"/>
        </w:rPr>
        <w:t xml:space="preserve">, </w:t>
      </w:r>
      <w:r w:rsidR="00B80D5E">
        <w:rPr>
          <w:rFonts w:ascii="Times New Roman" w:hAnsi="Times New Roman" w:cs="Times New Roman"/>
          <w:sz w:val="24"/>
          <w:szCs w:val="24"/>
          <w:lang w:val="uz-Latn-UZ"/>
        </w:rPr>
        <w:t>k</w:t>
      </w:r>
      <w:r w:rsidRPr="00830616">
        <w:rPr>
          <w:rFonts w:ascii="Times New Roman" w:hAnsi="Times New Roman" w:cs="Times New Roman"/>
          <w:sz w:val="24"/>
          <w:szCs w:val="24"/>
          <w:lang w:val="uz-Latn-UZ"/>
        </w:rPr>
        <w:t xml:space="preserve">riminologiya, </w:t>
      </w:r>
      <w:r w:rsidR="00B80D5E">
        <w:rPr>
          <w:rFonts w:ascii="Times New Roman" w:hAnsi="Times New Roman" w:cs="Times New Roman"/>
          <w:sz w:val="24"/>
          <w:szCs w:val="24"/>
          <w:lang w:val="uz-Latn-UZ"/>
        </w:rPr>
        <w:t>k</w:t>
      </w:r>
      <w:r w:rsidRPr="00830616">
        <w:rPr>
          <w:rFonts w:ascii="Times New Roman" w:hAnsi="Times New Roman" w:cs="Times New Roman"/>
          <w:sz w:val="24"/>
          <w:szCs w:val="24"/>
          <w:lang w:val="uz-Latn-UZ"/>
        </w:rPr>
        <w:t xml:space="preserve">orrupsiyaga qarshi kurash va qonun hujjatlariga rioya etilishini nazorat qilish, </w:t>
      </w:r>
      <w:r w:rsidR="00B80D5E">
        <w:rPr>
          <w:rFonts w:ascii="Times New Roman" w:hAnsi="Times New Roman" w:cs="Times New Roman"/>
          <w:sz w:val="24"/>
          <w:szCs w:val="24"/>
          <w:lang w:val="uz-Latn-UZ"/>
        </w:rPr>
        <w:t>m</w:t>
      </w:r>
      <w:r w:rsidRPr="00830616">
        <w:rPr>
          <w:rFonts w:ascii="Times New Roman" w:hAnsi="Times New Roman" w:cs="Times New Roman"/>
          <w:sz w:val="24"/>
          <w:szCs w:val="24"/>
          <w:lang w:val="uz-Latn-UZ"/>
        </w:rPr>
        <w:t xml:space="preserve">a’muriy javobgarlik, </w:t>
      </w:r>
      <w:r w:rsidR="00B80D5E">
        <w:rPr>
          <w:rFonts w:ascii="Times New Roman" w:hAnsi="Times New Roman" w:cs="Times New Roman"/>
          <w:sz w:val="24"/>
          <w:szCs w:val="24"/>
          <w:lang w:val="uz-Latn-UZ"/>
        </w:rPr>
        <w:t>s</w:t>
      </w:r>
      <w:r w:rsidRPr="00830616">
        <w:rPr>
          <w:rFonts w:ascii="Times New Roman" w:hAnsi="Times New Roman" w:cs="Times New Roman"/>
          <w:sz w:val="24"/>
          <w:szCs w:val="24"/>
          <w:lang w:val="uz-Latn-UZ"/>
        </w:rPr>
        <w:t xml:space="preserve">ud ekspertizasi, </w:t>
      </w:r>
      <w:r w:rsidR="00B80D5E">
        <w:rPr>
          <w:rFonts w:ascii="Times New Roman" w:hAnsi="Times New Roman" w:cs="Times New Roman"/>
          <w:sz w:val="24"/>
          <w:szCs w:val="24"/>
          <w:lang w:val="uz-Latn-UZ"/>
        </w:rPr>
        <w:t>s</w:t>
      </w:r>
      <w:r w:rsidRPr="00830616">
        <w:rPr>
          <w:rFonts w:ascii="Times New Roman" w:hAnsi="Times New Roman" w:cs="Times New Roman"/>
          <w:sz w:val="24"/>
          <w:szCs w:val="24"/>
          <w:lang w:val="uz-Latn-UZ"/>
        </w:rPr>
        <w:t xml:space="preserve">ud tizimi, </w:t>
      </w:r>
      <w:r w:rsidR="00B80D5E">
        <w:rPr>
          <w:rFonts w:ascii="Times New Roman" w:hAnsi="Times New Roman" w:cs="Times New Roman"/>
          <w:sz w:val="24"/>
          <w:szCs w:val="24"/>
          <w:lang w:val="uz-Latn-UZ"/>
        </w:rPr>
        <w:t>p</w:t>
      </w:r>
      <w:r w:rsidRPr="00830616">
        <w:rPr>
          <w:rFonts w:ascii="Times New Roman" w:hAnsi="Times New Roman" w:cs="Times New Roman"/>
          <w:sz w:val="24"/>
          <w:szCs w:val="24"/>
          <w:lang w:val="uz-Latn-UZ"/>
        </w:rPr>
        <w:t xml:space="preserve">rokurorlik faoliyati va </w:t>
      </w:r>
      <w:r w:rsidR="00B80D5E">
        <w:rPr>
          <w:rFonts w:ascii="Times New Roman" w:hAnsi="Times New Roman" w:cs="Times New Roman"/>
          <w:sz w:val="24"/>
          <w:szCs w:val="24"/>
          <w:lang w:val="uz-Latn-UZ"/>
        </w:rPr>
        <w:t>a</w:t>
      </w:r>
      <w:r w:rsidRPr="00830616">
        <w:rPr>
          <w:rFonts w:ascii="Times New Roman" w:hAnsi="Times New Roman" w:cs="Times New Roman"/>
          <w:sz w:val="24"/>
          <w:szCs w:val="24"/>
          <w:lang w:val="uz-Latn-UZ"/>
        </w:rPr>
        <w:t>dvokatlik asoslarini o‘rganish va tegishli huquq sohalari bo‘yicha chuqur bilim va ko‘nikmalarga ega bo‘lish imkoniyatini beradi.</w:t>
      </w: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Mazkur yo‘nalish analitik fikrlash va kasbiy ko‘nikmalarni rivojlantirmoqchi bo‘lgan, kelajakda sud va huquqni muhofaza qilish organlarida ishlash istagida bo‘lgan talabalar uchun mos keladi.</w:t>
      </w:r>
    </w:p>
    <w:p w:rsidR="00B80D5E" w:rsidRPr="00830616" w:rsidRDefault="00B80D5E" w:rsidP="00C7575F">
      <w:pPr>
        <w:spacing w:after="0" w:line="276" w:lineRule="auto"/>
        <w:ind w:firstLine="851"/>
        <w:jc w:val="both"/>
        <w:rPr>
          <w:rFonts w:ascii="Times New Roman" w:hAnsi="Times New Roman" w:cs="Times New Roman"/>
          <w:b/>
          <w:bCs/>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4. Xalqaro</w:t>
      </w:r>
      <w:r w:rsidR="004E51C2" w:rsidRPr="00830616">
        <w:rPr>
          <w:rFonts w:ascii="Times New Roman" w:hAnsi="Times New Roman" w:cs="Times New Roman"/>
          <w:b/>
          <w:bCs/>
          <w:sz w:val="24"/>
          <w:szCs w:val="24"/>
          <w:lang w:val="uz-Latn-UZ"/>
        </w:rPr>
        <w:t xml:space="preserve"> huquq </w:t>
      </w:r>
      <w:r w:rsidRPr="00830616">
        <w:rPr>
          <w:rFonts w:ascii="Times New Roman" w:hAnsi="Times New Roman" w:cs="Times New Roman"/>
          <w:b/>
          <w:bCs/>
          <w:sz w:val="24"/>
          <w:szCs w:val="24"/>
          <w:lang w:val="uz-Latn-UZ"/>
        </w:rPr>
        <w:t>va qiyosiy huquqshunoslik</w:t>
      </w:r>
    </w:p>
    <w:p w:rsidR="00B80D5E" w:rsidRPr="00830616" w:rsidRDefault="00B80D5E" w:rsidP="00C7575F">
      <w:pPr>
        <w:spacing w:after="0" w:line="276" w:lineRule="auto"/>
        <w:ind w:firstLine="851"/>
        <w:jc w:val="both"/>
        <w:rPr>
          <w:rFonts w:ascii="Times New Roman" w:hAnsi="Times New Roman" w:cs="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Xalqaro va qiyosiy huquqshunoslik talabalarga xalqaro ommaviy va xususiy xalqaro huquqning asosiy tamoyillarini o‘rganish imkoniyatini beradi. Mazkur yo‘nalish qonun ustuvorligi va kasbiy etika qadriyatlariga sodiq bo‘lgan, yuksak madaniyat va odob-axloqga ega yuristlarni tayyorlaydi. Talabalar xalqaro ommaviy va xususiy xalqaro huquq va qiyosiy huquq bo‘yicha tanqidiy tahlil qilishni rivojlantiradilar va amaliy ko‘nikmalarga ega bo‘ladilar hamda tegishli sohadagi xalqaro tanlovlarda qatnashish imkoniyatiga ega bo‘ladilar. Ushbu yo‘nalish o‘z karyerasini xalqaro tashkilotlar va xalqaro kompaniyalarda davom ettirishni maqsad qilganlar uchun to‘g‘ri keladi.</w:t>
      </w: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Akkreditatsiya</w:t>
      </w:r>
    </w:p>
    <w:p w:rsidR="00B80D5E" w:rsidRPr="00830616" w:rsidRDefault="00B80D5E" w:rsidP="00C7575F">
      <w:pPr>
        <w:spacing w:after="0" w:line="276" w:lineRule="auto"/>
        <w:ind w:firstLine="851"/>
        <w:jc w:val="both"/>
        <w:rPr>
          <w:rFonts w:ascii="Times New Roman" w:hAnsi="Times New Roman" w:cs="Times New Roman"/>
          <w:b/>
          <w:bCs/>
          <w:sz w:val="24"/>
          <w:szCs w:val="24"/>
          <w:lang w:val="uz-Latn-UZ"/>
        </w:rPr>
      </w:pPr>
    </w:p>
    <w:p w:rsidR="00897838" w:rsidRDefault="0054654B" w:rsidP="00C7575F">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 xml:space="preserve">Ushbu dastur Oliy ta’lim, fan va innovatsiyalar vazirligi tomonidan akkreditatsiyadan o‘tkazilgan bo‘lib, yuridik ta’lim dasturi O‘zbekiston milliy malakalar </w:t>
      </w:r>
      <w:r w:rsidR="00C7575F">
        <w:rPr>
          <w:rFonts w:ascii="Times New Roman" w:eastAsia="Calibri" w:hAnsi="Times New Roman" w:cs="Times New Roman"/>
          <w:sz w:val="24"/>
          <w:szCs w:val="24"/>
          <w:lang w:val="uz-Latn-UZ" w:eastAsia="zh-CN" w:bidi="ar"/>
        </w:rPr>
        <w:t>ramkasi</w:t>
      </w:r>
      <w:r w:rsidRPr="00830616">
        <w:rPr>
          <w:rFonts w:ascii="Times New Roman" w:eastAsia="Calibri" w:hAnsi="Times New Roman" w:cs="Times New Roman"/>
          <w:sz w:val="24"/>
          <w:szCs w:val="24"/>
          <w:lang w:val="uz-Latn-UZ" w:eastAsia="zh-CN" w:bidi="ar"/>
        </w:rPr>
        <w:t xml:space="preserve"> va unga tegishli sifat talablariga muvofiq. Dastur har </w:t>
      </w:r>
      <w:r w:rsidR="007D7F4A">
        <w:rPr>
          <w:rFonts w:ascii="Times New Roman" w:eastAsia="Calibri" w:hAnsi="Times New Roman" w:cs="Times New Roman"/>
          <w:sz w:val="24"/>
          <w:szCs w:val="24"/>
          <w:lang w:val="uz-Latn-UZ" w:eastAsia="zh-CN" w:bidi="ar"/>
        </w:rPr>
        <w:t>4</w:t>
      </w:r>
      <w:r w:rsidRPr="00830616">
        <w:rPr>
          <w:rFonts w:ascii="Times New Roman" w:eastAsia="Calibri" w:hAnsi="Times New Roman" w:cs="Times New Roman"/>
          <w:sz w:val="24"/>
          <w:szCs w:val="24"/>
          <w:lang w:val="uz-Latn-UZ" w:eastAsia="zh-CN" w:bidi="ar"/>
        </w:rPr>
        <w:t xml:space="preserve"> yilda milliy akkreditatsiya jarayonidan o‘tadi.</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Default="00C7575F" w:rsidP="00C7575F">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Ta’lim dasturiga</w:t>
      </w:r>
      <w:r w:rsidR="0054654B" w:rsidRPr="00830616">
        <w:rPr>
          <w:rFonts w:ascii="Times New Roman" w:hAnsi="Times New Roman" w:cs="Times New Roman"/>
          <w:b/>
          <w:bCs/>
          <w:sz w:val="24"/>
          <w:szCs w:val="24"/>
          <w:lang w:val="uz-Latn-UZ"/>
        </w:rPr>
        <w:t xml:space="preserve"> qabul talablari</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Abituriyentlar mazkur ixtisoslikga </w:t>
      </w:r>
      <w:r w:rsidRPr="00830616">
        <w:rPr>
          <w:rFonts w:ascii="Times New Roman" w:eastAsia="Calibri" w:hAnsi="Times New Roman" w:cs="Times New Roman"/>
          <w:sz w:val="24"/>
          <w:szCs w:val="24"/>
          <w:lang w:val="uz-Latn-UZ" w:eastAsia="zh-CN"/>
        </w:rPr>
        <w:t xml:space="preserve">qayerda o‘qishni va Toshkent davlat yuridik universitetining qaysi yo‘nalishida (yo‘nalishlarida) o‘qishni xohlayotganlarini ko‘rsatgan holda </w:t>
      </w:r>
      <w:r w:rsidRPr="00830616">
        <w:rPr>
          <w:rFonts w:ascii="Times New Roman" w:hAnsi="Times New Roman" w:cs="Times New Roman"/>
          <w:sz w:val="24"/>
          <w:szCs w:val="24"/>
          <w:lang w:val="uz-Latn-UZ"/>
        </w:rPr>
        <w:t xml:space="preserve">Davlat xizmatlari markazi, Interaktiv davlat xizmatlari portali yoki Oliy taʼlim, fan va innovatsiyalar vazirligi huzuridagi Bilim va malakalarni baholash agentligi veb-sayti orqali hujjat topshiradilar. </w:t>
      </w:r>
      <w:r w:rsidRPr="00830616">
        <w:rPr>
          <w:rFonts w:ascii="Times New Roman" w:eastAsia="Calibri" w:hAnsi="Times New Roman" w:cs="Times New Roman"/>
          <w:sz w:val="24"/>
          <w:szCs w:val="24"/>
          <w:lang w:val="uz-Latn-UZ" w:eastAsia="zh-CN"/>
        </w:rPr>
        <w:t>Talabalar bir nechta yo‘nalishni tanlashlari va o‘zlari xohlagan tartibda joylashtirishlari mumkin.</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Abituriyentlar huquq, chet tili (o‘zbek yoki rus tilidan tashqari), O‘zbekiston tarixi, o‘zbek yoki rus tili va matematika fanlaridan kirish imtihonlarini topshiradilar. Bilim va malakalarni baholash agentligi imtihonlarni belgilaydi va tashkil qiladi. Taʼlim muassasalariga oʻqishga qabul qilish boʻyicha davlat komissiyasi imtihon natijalariga koʻra oʻqishga qabul qilish toʻgʻrisida qaror qabul qiladi. </w:t>
      </w: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Batafsil ma’lumot (Vazirlar Mahkamasining 2017-yil 20-iyundagi “Oliy ta’lim muassasalarining bakalavriat bosqichiga o‘qishga qabul qilish tartibi to‘g‘risida”gi nizom), </w:t>
      </w:r>
      <w:hyperlink r:id="rId8" w:history="1">
        <w:r w:rsidRPr="00830616">
          <w:rPr>
            <w:rStyle w:val="a4"/>
            <w:rFonts w:ascii="Times New Roman" w:hAnsi="Times New Roman" w:cs="Times New Roman"/>
            <w:sz w:val="24"/>
            <w:szCs w:val="24"/>
            <w:lang w:val="uz-Latn-UZ"/>
          </w:rPr>
          <w:t>https://lex.uz/docs/-3244181</w:t>
        </w:r>
      </w:hyperlink>
      <w:r w:rsidRPr="00830616">
        <w:rPr>
          <w:rFonts w:ascii="Times New Roman" w:hAnsi="Times New Roman" w:cs="Times New Roman"/>
          <w:sz w:val="24"/>
          <w:szCs w:val="24"/>
          <w:lang w:val="uz-Latn-UZ"/>
        </w:rPr>
        <w:t xml:space="preserve"> </w:t>
      </w:r>
    </w:p>
    <w:p w:rsidR="00C7575F" w:rsidRPr="00830616" w:rsidRDefault="00C7575F" w:rsidP="00C7575F">
      <w:pPr>
        <w:spacing w:after="0" w:line="276" w:lineRule="auto"/>
        <w:ind w:firstLine="851"/>
        <w:jc w:val="both"/>
        <w:rPr>
          <w:rFonts w:ascii="Times New Roman" w:hAnsi="Times New Roman" w:cs="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w:t>
      </w:r>
      <w:r w:rsidR="00C7575F">
        <w:rPr>
          <w:rFonts w:ascii="Times New Roman" w:hAnsi="Times New Roman" w:cs="Times New Roman"/>
          <w:b/>
          <w:bCs/>
          <w:sz w:val="24"/>
          <w:szCs w:val="24"/>
          <w:lang w:val="uz-Latn-UZ"/>
        </w:rPr>
        <w:t xml:space="preserve"> dasturi</w:t>
      </w:r>
      <w:r w:rsidRPr="00830616">
        <w:rPr>
          <w:rFonts w:ascii="Times New Roman" w:hAnsi="Times New Roman" w:cs="Times New Roman"/>
          <w:b/>
          <w:bCs/>
          <w:sz w:val="24"/>
          <w:szCs w:val="24"/>
          <w:lang w:val="uz-Latn-UZ"/>
        </w:rPr>
        <w:t xml:space="preserve"> maqsadi va dasturdan kutil</w:t>
      </w:r>
      <w:r w:rsidR="00C7575F">
        <w:rPr>
          <w:rFonts w:ascii="Times New Roman" w:hAnsi="Times New Roman" w:cs="Times New Roman"/>
          <w:b/>
          <w:bCs/>
          <w:sz w:val="24"/>
          <w:szCs w:val="24"/>
          <w:lang w:val="uz-Latn-UZ"/>
        </w:rPr>
        <w:t>g</w:t>
      </w:r>
      <w:r w:rsidRPr="00830616">
        <w:rPr>
          <w:rFonts w:ascii="Times New Roman" w:hAnsi="Times New Roman" w:cs="Times New Roman"/>
          <w:b/>
          <w:bCs/>
          <w:sz w:val="24"/>
          <w:szCs w:val="24"/>
          <w:lang w:val="uz-Latn-UZ"/>
        </w:rPr>
        <w:t xml:space="preserve">an natijalar </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tabs>
          <w:tab w:val="left" w:pos="280"/>
        </w:tabs>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bidi="ar"/>
        </w:rPr>
        <w:t xml:space="preserve">Toshkent davlat yuridik universitetidagi barcha bakalavr yo‘nalishlari uchun umumiy ta’lim maqsadi va ta’lim dasturidan kutilayotgan natijalariga hamda o‘rganilayotgan maxsus soha bo‘yicha aniq o‘quv natijalariga ega. Ushbu maqsad va natijalar talabalarning bilim, ko‘nikma va qadriyatlarini rivojlantirishda minimal standartga erishish va kelgusi kasbiy faoliyatlarida zarur tayyorgarlikka ega bo‘lishlarini ta’minlash uchun ishlab chiqilgan. </w:t>
      </w:r>
      <w:r w:rsidRPr="00830616">
        <w:rPr>
          <w:rFonts w:ascii="Times New Roman" w:eastAsia="Calibri" w:hAnsi="Times New Roman" w:cs="Times New Roman"/>
          <w:sz w:val="24"/>
          <w:szCs w:val="24"/>
          <w:lang w:val="uz-Latn-UZ" w:eastAsia="zh-CN"/>
        </w:rPr>
        <w:t>Bundan tashqari, individual o‘quv dasturlari bo‘yicha bitiruvchi talabalar yuqorida sanab o‘tilgan yo‘nalishlardan birida ko‘rsatilgan ixtisoslikka xos bilim, ko‘nikma va qadriyatlarni rivojlantiradilar.</w:t>
      </w:r>
    </w:p>
    <w:p w:rsidR="00897838" w:rsidRPr="00830616" w:rsidRDefault="0054654B" w:rsidP="00C7575F">
      <w:pPr>
        <w:pStyle w:val="ac"/>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Yurisprudensiya yo‘nalishi bakalavriat dasturining umumiy taʼlim maqsadlari quyidagilardan iborat: </w:t>
      </w:r>
    </w:p>
    <w:p w:rsidR="00897838" w:rsidRPr="00830616" w:rsidRDefault="0054654B" w:rsidP="00C7575F">
      <w:pPr>
        <w:pStyle w:val="msolistparagraph0"/>
        <w:numPr>
          <w:ilvl w:val="0"/>
          <w:numId w:val="1"/>
        </w:numPr>
        <w:tabs>
          <w:tab w:val="left" w:pos="280"/>
          <w:tab w:val="left" w:pos="1134"/>
        </w:tabs>
        <w:spacing w:after="0" w:line="276" w:lineRule="auto"/>
        <w:ind w:left="0" w:firstLine="851"/>
        <w:jc w:val="both"/>
        <w:rPr>
          <w:rFonts w:ascii="Times New Roman" w:hAnsi="Times New Roman"/>
          <w:sz w:val="24"/>
          <w:szCs w:val="24"/>
          <w:lang w:val="uz-Latn-UZ"/>
        </w:rPr>
      </w:pPr>
      <w:r w:rsidRPr="00830616">
        <w:rPr>
          <w:rFonts w:ascii="Times New Roman" w:hAnsi="Times New Roman"/>
          <w:sz w:val="24"/>
          <w:szCs w:val="24"/>
          <w:lang w:val="uz-Latn-UZ"/>
        </w:rPr>
        <w:t>adolatni targ‘ib qilish va qonun ustuvorligini ta’minlash uchun zarur bo‘lgan huquqiy bilim, ko‘nikma, qadriyatlar va sifatlarga ega bo‘lgan huquqshunoslik bo‘yicha bitiruvchilarni tayyorlash;</w:t>
      </w:r>
    </w:p>
    <w:p w:rsidR="00897838" w:rsidRPr="00830616" w:rsidRDefault="00B27CC9" w:rsidP="00C7575F">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yumshoq</w:t>
      </w:r>
      <w:r w:rsidR="0054654B" w:rsidRPr="00830616">
        <w:rPr>
          <w:rFonts w:ascii="Times New Roman" w:hAnsi="Times New Roman" w:cs="Times New Roman"/>
          <w:sz w:val="24"/>
          <w:szCs w:val="24"/>
          <w:lang w:val="uz-Latn-UZ"/>
        </w:rPr>
        <w:t xml:space="preserve"> ko‘nikmalar (transferable skills)ni rivojlantirishni qo‘llab-quvvatlash;</w:t>
      </w:r>
    </w:p>
    <w:p w:rsidR="00897838" w:rsidRPr="00830616" w:rsidRDefault="0054654B" w:rsidP="00C7575F">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tanqidiy </w:t>
      </w:r>
      <w:r w:rsidR="00B27CC9">
        <w:rPr>
          <w:rFonts w:ascii="Times New Roman" w:hAnsi="Times New Roman" w:cs="Times New Roman"/>
          <w:sz w:val="24"/>
          <w:szCs w:val="24"/>
          <w:lang w:val="uz-Latn-UZ"/>
        </w:rPr>
        <w:t>mushohadani</w:t>
      </w:r>
      <w:r w:rsidRPr="00830616">
        <w:rPr>
          <w:rFonts w:ascii="Times New Roman" w:hAnsi="Times New Roman" w:cs="Times New Roman"/>
          <w:sz w:val="24"/>
          <w:szCs w:val="24"/>
          <w:lang w:val="uz-Latn-UZ"/>
        </w:rPr>
        <w:t xml:space="preserve"> rivojlantirish; </w:t>
      </w:r>
    </w:p>
    <w:p w:rsidR="00897838" w:rsidRPr="00830616" w:rsidRDefault="00DD6AC4" w:rsidP="00C7575F">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huquqni o‘rganishga nisbatan global yondashish</w:t>
      </w:r>
      <w:r w:rsidR="0054654B" w:rsidRPr="00830616">
        <w:rPr>
          <w:rFonts w:ascii="Times New Roman" w:hAnsi="Times New Roman" w:cs="Times New Roman"/>
          <w:sz w:val="24"/>
          <w:szCs w:val="24"/>
          <w:lang w:val="uz-Latn-UZ"/>
        </w:rPr>
        <w:t>;</w:t>
      </w:r>
    </w:p>
    <w:p w:rsidR="00897838" w:rsidRPr="00830616" w:rsidRDefault="0054654B" w:rsidP="00C7575F">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mustaqil </w:t>
      </w:r>
      <w:r w:rsidR="00B27CC9">
        <w:rPr>
          <w:rFonts w:ascii="Times New Roman" w:hAnsi="Times New Roman" w:cs="Times New Roman"/>
          <w:sz w:val="24"/>
          <w:szCs w:val="24"/>
          <w:lang w:val="uz-Latn-UZ"/>
        </w:rPr>
        <w:t>ta’lim olishni</w:t>
      </w:r>
      <w:r w:rsidRPr="00830616">
        <w:rPr>
          <w:rFonts w:ascii="Times New Roman" w:hAnsi="Times New Roman" w:cs="Times New Roman"/>
          <w:sz w:val="24"/>
          <w:szCs w:val="24"/>
          <w:lang w:val="uz-Latn-UZ"/>
        </w:rPr>
        <w:t xml:space="preserve"> </w:t>
      </w:r>
      <w:r w:rsidR="00DD6AC4">
        <w:rPr>
          <w:rFonts w:ascii="Times New Roman" w:hAnsi="Times New Roman" w:cs="Times New Roman"/>
          <w:sz w:val="24"/>
          <w:szCs w:val="24"/>
          <w:lang w:val="uz-Latn-UZ"/>
        </w:rPr>
        <w:t>qo‘llab-quvvatlash</w:t>
      </w:r>
      <w:r w:rsidRPr="00830616">
        <w:rPr>
          <w:rFonts w:ascii="Times New Roman" w:hAnsi="Times New Roman" w:cs="Times New Roman"/>
          <w:sz w:val="24"/>
          <w:szCs w:val="24"/>
          <w:lang w:val="uz-Latn-UZ"/>
        </w:rPr>
        <w:t>;</w:t>
      </w:r>
    </w:p>
    <w:p w:rsidR="00897838" w:rsidRDefault="00DD6AC4" w:rsidP="00C7575F">
      <w:pPr>
        <w:pStyle w:val="ac"/>
        <w:numPr>
          <w:ilvl w:val="0"/>
          <w:numId w:val="2"/>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munosib </w:t>
      </w:r>
      <w:r w:rsidR="0054654B" w:rsidRPr="00830616">
        <w:rPr>
          <w:rFonts w:ascii="Times New Roman" w:hAnsi="Times New Roman" w:cs="Times New Roman"/>
          <w:sz w:val="24"/>
          <w:szCs w:val="24"/>
          <w:lang w:val="uz-Latn-UZ"/>
        </w:rPr>
        <w:t>bandlikni ta’minlash.</w:t>
      </w:r>
    </w:p>
    <w:p w:rsidR="00C7575F" w:rsidRPr="00830616" w:rsidRDefault="00C7575F" w:rsidP="00C7575F">
      <w:pPr>
        <w:pStyle w:val="ac"/>
        <w:tabs>
          <w:tab w:val="left" w:pos="284"/>
        </w:tabs>
        <w:spacing w:after="0" w:line="276" w:lineRule="auto"/>
        <w:ind w:left="0" w:firstLine="851"/>
        <w:jc w:val="both"/>
        <w:rPr>
          <w:rFonts w:ascii="Times New Roman" w:hAnsi="Times New Roman" w:cs="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Bakalavr bosqichi ta’lim natijalarini quyidagicha umumlashtirish mumkin:</w:t>
      </w: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 xml:space="preserve">Ta’lim dasturidan kutiladigan natijalar </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Default="0054654B" w:rsidP="00C7575F">
      <w:pPr>
        <w:pStyle w:val="ac"/>
        <w:numPr>
          <w:ilvl w:val="0"/>
          <w:numId w:val="3"/>
        </w:numPr>
        <w:tabs>
          <w:tab w:val="left" w:pos="1134"/>
        </w:tabs>
        <w:spacing w:after="0" w:line="276" w:lineRule="auto"/>
        <w:ind w:left="0"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Bilim</w:t>
      </w:r>
    </w:p>
    <w:p w:rsidR="00C7575F" w:rsidRPr="00830616" w:rsidRDefault="00C7575F" w:rsidP="00B27CC9">
      <w:pPr>
        <w:pStyle w:val="ac"/>
        <w:tabs>
          <w:tab w:val="left" w:pos="1134"/>
        </w:tabs>
        <w:spacing w:after="0" w:line="276" w:lineRule="auto"/>
        <w:ind w:left="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bCs/>
          <w:sz w:val="24"/>
          <w:szCs w:val="24"/>
          <w:lang w:val="uz-Latn-UZ"/>
        </w:rPr>
        <w:t>Yurisprudensiyaning bakalavr bosqichi</w:t>
      </w:r>
      <w:r w:rsidRPr="00830616">
        <w:rPr>
          <w:rFonts w:ascii="Times New Roman" w:hAnsi="Times New Roman" w:cs="Times New Roman"/>
          <w:b/>
          <w:bCs/>
          <w:sz w:val="24"/>
          <w:szCs w:val="24"/>
          <w:lang w:val="uz-Latn-UZ"/>
        </w:rPr>
        <w:t xml:space="preserve"> </w:t>
      </w:r>
      <w:r w:rsidRPr="00830616">
        <w:rPr>
          <w:rFonts w:ascii="Times New Roman" w:hAnsi="Times New Roman" w:cs="Times New Roman"/>
          <w:bCs/>
          <w:sz w:val="24"/>
          <w:szCs w:val="24"/>
          <w:lang w:val="uz-Latn-UZ"/>
        </w:rPr>
        <w:t xml:space="preserve">ta’lim dasturini tamomlagan </w:t>
      </w:r>
      <w:r w:rsidRPr="00830616">
        <w:rPr>
          <w:rFonts w:ascii="Times New Roman" w:hAnsi="Times New Roman" w:cs="Times New Roman"/>
          <w:sz w:val="24"/>
          <w:szCs w:val="24"/>
          <w:lang w:val="uz-Latn-UZ"/>
        </w:rPr>
        <w:t>talabalar quyidagilarni bajara oladi: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tegishli yurisdiksiyaga doir huquq manbalari va materiallarni to‘g‘ri aniqlash, qog‘oz hamda elektron shaklda topish hamda ularning masalaga tegishli qismini ajrata olish (Ta’lim dasturidan kutilgan natija   ̶ TDKN 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sohaga doir fundamental muammo va vaziyatlarni tahlil etish, ularga huquqiy bilimlarni qonunchilikka asoslangan xulosaga kelish orqali qo‘llash (TDKN II);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 huquqiy tadqiqot olib borish orqali muammo va vaziyatlar bo‘yicha bir necha ehtimoliy yechimlarni aniqlay olish hamda tanqidiy qaror qabul qilish (TDKN III); </w:t>
      </w: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sohaga doir fundamental tushuncha, nazariya va prinsiplarni, qonunchilikdagi noaniqliklar, ziddiyatlar, ikki xil talqin etish mumkin bo‘lgan jihatlar hamda qonunning qo‘llanish chegarasini tanqidiy tushuntirib berish (TDKN IV).</w:t>
      </w:r>
    </w:p>
    <w:p w:rsidR="00C7575F" w:rsidRPr="00830616" w:rsidRDefault="00C7575F" w:rsidP="00C7575F">
      <w:pPr>
        <w:spacing w:after="0" w:line="276" w:lineRule="auto"/>
        <w:ind w:firstLine="851"/>
        <w:jc w:val="both"/>
        <w:rPr>
          <w:rFonts w:ascii="Times New Roman" w:hAnsi="Times New Roman" w:cs="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 Malakalar</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bCs/>
          <w:sz w:val="24"/>
          <w:szCs w:val="24"/>
          <w:lang w:val="uz-Latn-UZ"/>
        </w:rPr>
        <w:t>Yurisprudensiyaning bakalavr bosqichi</w:t>
      </w:r>
      <w:r w:rsidRPr="00830616">
        <w:rPr>
          <w:rFonts w:ascii="Times New Roman" w:hAnsi="Times New Roman" w:cs="Times New Roman"/>
          <w:b/>
          <w:bCs/>
          <w:sz w:val="24"/>
          <w:szCs w:val="24"/>
          <w:lang w:val="uz-Latn-UZ"/>
        </w:rPr>
        <w:t xml:space="preserve"> </w:t>
      </w:r>
      <w:r w:rsidRPr="00830616">
        <w:rPr>
          <w:rFonts w:ascii="Times New Roman" w:hAnsi="Times New Roman" w:cs="Times New Roman"/>
          <w:bCs/>
          <w:sz w:val="24"/>
          <w:szCs w:val="24"/>
          <w:lang w:val="uz-Latn-UZ"/>
        </w:rPr>
        <w:t xml:space="preserve">ta’lim dasturini tamomlagan </w:t>
      </w:r>
      <w:r w:rsidRPr="00830616">
        <w:rPr>
          <w:rFonts w:ascii="Times New Roman" w:hAnsi="Times New Roman" w:cs="Times New Roman"/>
          <w:sz w:val="24"/>
          <w:szCs w:val="24"/>
          <w:lang w:val="uz-Latn-UZ"/>
        </w:rPr>
        <w:t>talabalar quyidagilarni bajara oladi: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 huquqiy masalalar, savollar va muammolarni aniqlash va tahlil etish </w:t>
      </w:r>
      <w:r w:rsidRPr="00830616">
        <w:rPr>
          <w:rFonts w:ascii="Times New Roman" w:hAnsi="Times New Roman" w:cs="Times New Roman"/>
          <w:sz w:val="24"/>
          <w:szCs w:val="24"/>
          <w:lang w:val="uz-Latn-UZ"/>
        </w:rPr>
        <w:br/>
        <w:t>(TDKN V);</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mehnat bozoriga kirish arafasidagi shaxs uchun zarur bo‘lgan huquqiy ko‘nikmalar, xususan, huquqiy tadqiqotlar olib borish, yozma yuridik nutq, huquqlarni himoya qila olish, nizolarni hal etish, tanqidiy tahlil, elektron texnologiyalardan foydalanish hamda muammolarni hal qilish (TDKN VI);</w:t>
      </w:r>
    </w:p>
    <w:p w:rsidR="00897838" w:rsidRPr="00830616" w:rsidRDefault="0054654B" w:rsidP="00C7575F">
      <w:pPr>
        <w:tabs>
          <w:tab w:val="left" w:pos="426"/>
        </w:tabs>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ishga joylashishga yordam beradigan ko‘nikmalarni shakllantira olish (jumladan, taym-menejmentga amal qilish, ta’sirchan rezyume tuzish, mijozlar va hamkasblarda ijobiy taassurot hosil qilish, liderlik, tijoriy xabardorlik v.b.) va karyera imkoniyatlarini baholay olish (TDKN VII);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 samarali va ishonarli darajada hamda nutqning maqsadi va auditoriyasidan kelib chiqqan holda og‘zaki hamda yozma shakllarda muloqot olib borish </w:t>
      </w:r>
      <w:r w:rsidRPr="00830616">
        <w:rPr>
          <w:rFonts w:ascii="Times New Roman" w:hAnsi="Times New Roman" w:cs="Times New Roman"/>
          <w:sz w:val="24"/>
          <w:szCs w:val="24"/>
          <w:lang w:val="uz-Latn-UZ"/>
        </w:rPr>
        <w:br/>
        <w:t>(TDKN VIII);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intellektual mustaqillikni namoyon etish, jumladan, mustaqil ta’lim bo‘yicha topshiriqlarni bajarish (professor-o‘qituvchining tegishli yo‘l yo‘riq ko‘rsatishi va qo‘llab-quvvatlashi orqali), mustaqil tadqiqotlar olib borish, tanqidiy mulohaza yurita olish va berilgan taqrizlardan rivojlanish maqsadida foydalanish (TDKN IX);</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guruh yoki jamoa ishida samarali hamkorlik qilish, muhokamlarda faol ishtirok etish va umumiy maqsadlarga erishishga hissa qo‘shish (TDKN X);</w:t>
      </w:r>
    </w:p>
    <w:p w:rsidR="00897838" w:rsidRPr="00830616" w:rsidRDefault="0054654B" w:rsidP="00C7575F">
      <w:pPr>
        <w:widowControl w:val="0"/>
        <w:numPr>
          <w:ilvl w:val="0"/>
          <w:numId w:val="4"/>
        </w:numPr>
        <w:tabs>
          <w:tab w:val="left" w:pos="993"/>
        </w:tabs>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xorijiy til (ingliz/fransuz/nemis til)dan huquqiy masalalar, shu jumladan, yuridik nutqni tushunish, keyslarni tahlil etish va argumentlarni ilgari surishda foydalanish (TDKN XI).</w:t>
      </w:r>
    </w:p>
    <w:p w:rsidR="00897838" w:rsidRPr="00830616" w:rsidRDefault="00897838" w:rsidP="00C7575F">
      <w:pPr>
        <w:spacing w:after="0" w:line="276" w:lineRule="auto"/>
        <w:ind w:firstLine="851"/>
        <w:jc w:val="both"/>
        <w:rPr>
          <w:rFonts w:ascii="Times New Roman" w:hAnsi="Times New Roman" w:cs="Times New Roman"/>
          <w:sz w:val="24"/>
          <w:szCs w:val="24"/>
          <w:lang w:val="uz-Latn-UZ"/>
        </w:rPr>
      </w:pPr>
    </w:p>
    <w:p w:rsidR="00897838" w:rsidRDefault="0054654B" w:rsidP="00C7575F">
      <w:pPr>
        <w:pStyle w:val="ac"/>
        <w:numPr>
          <w:ilvl w:val="0"/>
          <w:numId w:val="5"/>
        </w:numPr>
        <w:spacing w:after="0" w:line="276" w:lineRule="auto"/>
        <w:ind w:left="0"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Qadriyatlar</w:t>
      </w:r>
    </w:p>
    <w:p w:rsidR="00C7575F" w:rsidRPr="00830616" w:rsidRDefault="00C7575F" w:rsidP="00C7575F">
      <w:pPr>
        <w:pStyle w:val="ac"/>
        <w:spacing w:after="0" w:line="276" w:lineRule="auto"/>
        <w:ind w:left="0" w:firstLine="851"/>
        <w:jc w:val="both"/>
        <w:rPr>
          <w:rFonts w:ascii="Times New Roman" w:hAnsi="Times New Roman" w:cs="Times New Roman"/>
          <w:b/>
          <w:bCs/>
          <w:sz w:val="24"/>
          <w:szCs w:val="24"/>
          <w:lang w:val="uz-Latn-UZ"/>
        </w:rPr>
      </w:pPr>
    </w:p>
    <w:p w:rsidR="00897838" w:rsidRPr="00830616" w:rsidRDefault="0054654B" w:rsidP="00C7575F">
      <w:pPr>
        <w:pStyle w:val="ac"/>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bCs/>
          <w:sz w:val="24"/>
          <w:szCs w:val="24"/>
          <w:lang w:val="uz-Latn-UZ"/>
        </w:rPr>
        <w:t>Yurisprudensiyaning bakalavr bosqichi</w:t>
      </w:r>
      <w:r w:rsidRPr="00830616">
        <w:rPr>
          <w:rFonts w:ascii="Times New Roman" w:hAnsi="Times New Roman" w:cs="Times New Roman"/>
          <w:b/>
          <w:bCs/>
          <w:sz w:val="24"/>
          <w:szCs w:val="24"/>
          <w:lang w:val="uz-Latn-UZ"/>
        </w:rPr>
        <w:t xml:space="preserve"> </w:t>
      </w:r>
      <w:r w:rsidRPr="00830616">
        <w:rPr>
          <w:rFonts w:ascii="Times New Roman" w:hAnsi="Times New Roman" w:cs="Times New Roman"/>
          <w:bCs/>
          <w:sz w:val="24"/>
          <w:szCs w:val="24"/>
          <w:lang w:val="uz-Latn-UZ"/>
        </w:rPr>
        <w:t xml:space="preserve">ta’lim dasturini tamomlagan </w:t>
      </w:r>
      <w:r w:rsidRPr="00830616">
        <w:rPr>
          <w:rFonts w:ascii="Times New Roman" w:hAnsi="Times New Roman" w:cs="Times New Roman"/>
          <w:sz w:val="24"/>
          <w:szCs w:val="24"/>
          <w:lang w:val="uz-Latn-UZ"/>
        </w:rPr>
        <w:t>talabalar quyidagi q</w:t>
      </w:r>
      <w:r w:rsidRPr="00830616">
        <w:rPr>
          <w:rFonts w:ascii="Times New Roman" w:hAnsi="Times New Roman" w:cs="Times New Roman"/>
          <w:bCs/>
          <w:sz w:val="24"/>
          <w:szCs w:val="24"/>
          <w:lang w:val="uz-Latn-UZ"/>
        </w:rPr>
        <w:t>adriyatlar egasi</w:t>
      </w:r>
      <w:r w:rsidRPr="00830616">
        <w:rPr>
          <w:rFonts w:ascii="Times New Roman" w:hAnsi="Times New Roman" w:cs="Times New Roman"/>
          <w:sz w:val="24"/>
          <w:szCs w:val="24"/>
          <w:lang w:val="uz-Latn-UZ"/>
        </w:rPr>
        <w:t xml:space="preserve"> bo‘ladi: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bookmarkStart w:id="0" w:name="_Hlk147211654"/>
      <w:r w:rsidRPr="00830616">
        <w:rPr>
          <w:rFonts w:ascii="Times New Roman" w:hAnsi="Times New Roman" w:cs="Times New Roman"/>
          <w:sz w:val="24"/>
          <w:szCs w:val="24"/>
          <w:lang w:val="uz-Latn-UZ"/>
        </w:rPr>
        <w:t xml:space="preserve">• </w:t>
      </w:r>
      <w:bookmarkEnd w:id="0"/>
      <w:r w:rsidRPr="00830616">
        <w:rPr>
          <w:rFonts w:ascii="Times New Roman" w:hAnsi="Times New Roman" w:cs="Times New Roman"/>
          <w:sz w:val="24"/>
          <w:szCs w:val="24"/>
          <w:lang w:val="uz-Latn-UZ"/>
        </w:rPr>
        <w:t>shaxsiy rivojanish, jumladan, akademik va professional halollik masalalari yuzasidan fikr-mulohaza yuritish (TDKN XII);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yuristlarning jamiyatdagi o‘rni, yuristlarning jamiyat rivojiga ko‘rsatadigan ta’siri hamda jamiyat tomonidan yuristlardan kutilayotgan professional kutuvlarni anglash (TDKN XIII);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amaldagi siyosiy, iqtisodiy va ijtimoiy-madaniy sharoitda mamlakat Konstitutsiyasi, qonunlari negizida mujassam bo‘lgan qadriyatlarni aniqlash va ularni konstruktiv tadqiq qilish (TDKN XIV);</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qonunchilik, huquqiy madaniyat va jamiyat hayotiga oid dolzarb muammolar, jumladan, ijtimoiy adolat, fuqarolar tengligi va barqarorlik mavzularidagi bahs-munozaralarda ishtirok etish va ularning qadrini himoya qilish (TDKN XV).</w:t>
      </w:r>
    </w:p>
    <w:p w:rsidR="00897838" w:rsidRDefault="0054654B" w:rsidP="00C7575F">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Ta’lim dasturidan kutilayotgan natijalardan tashqari, har bir modul uchun alohida moduldan kutilayotgan natijalar ham mavjud. Moduldan kutilayotgan natijalar dasturdan kutilayotgan natijalarga mos kelishi va har bir modul qanchalik darajada umumiy o‘quv natijalariga hissa qo‘shishini ko‘rsatish uchun xaritalashtirilgan. Shu sababli ushbu dasturni muvaffaqiyatli tamomlagan talaba ta’lim dasturida belgilangan natijalar, zarur bilim, ko‘nikma va qadriyatlar majmuasiga erishgan bo‘ladi.</w:t>
      </w:r>
    </w:p>
    <w:p w:rsidR="00C7575F" w:rsidRPr="00830616" w:rsidRDefault="00C7575F" w:rsidP="00C7575F">
      <w:pPr>
        <w:spacing w:after="0" w:line="276" w:lineRule="auto"/>
        <w:ind w:firstLine="851"/>
        <w:jc w:val="both"/>
        <w:rPr>
          <w:rFonts w:ascii="Times New Roman" w:eastAsia="Calibri" w:hAnsi="Times New Roman" w:cs="Times New Roman"/>
          <w:sz w:val="24"/>
          <w:szCs w:val="24"/>
          <w:lang w:val="uz-Latn-UZ" w:eastAsia="zh-CN" w:bidi="ar"/>
        </w:rPr>
      </w:pPr>
    </w:p>
    <w:p w:rsidR="00897838" w:rsidRDefault="00C7575F" w:rsidP="00C7575F">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Ta’lim d</w:t>
      </w:r>
      <w:r w:rsidR="0054654B" w:rsidRPr="00830616">
        <w:rPr>
          <w:rFonts w:ascii="Times New Roman" w:hAnsi="Times New Roman" w:cs="Times New Roman"/>
          <w:b/>
          <w:bCs/>
          <w:sz w:val="24"/>
          <w:szCs w:val="24"/>
          <w:lang w:val="uz-Latn-UZ"/>
        </w:rPr>
        <w:t>astur</w:t>
      </w:r>
      <w:r>
        <w:rPr>
          <w:rFonts w:ascii="Times New Roman" w:hAnsi="Times New Roman" w:cs="Times New Roman"/>
          <w:b/>
          <w:bCs/>
          <w:sz w:val="24"/>
          <w:szCs w:val="24"/>
          <w:lang w:val="uz-Latn-UZ"/>
        </w:rPr>
        <w:t>i</w:t>
      </w:r>
      <w:r w:rsidR="0054654B" w:rsidRPr="00830616">
        <w:rPr>
          <w:rFonts w:ascii="Times New Roman" w:hAnsi="Times New Roman" w:cs="Times New Roman"/>
          <w:b/>
          <w:bCs/>
          <w:sz w:val="24"/>
          <w:szCs w:val="24"/>
          <w:lang w:val="uz-Latn-UZ"/>
        </w:rPr>
        <w:t>ning tuzilishi</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eastAsia="Calibri" w:hAnsi="Times New Roman" w:cs="Times New Roman"/>
          <w:sz w:val="24"/>
          <w:szCs w:val="24"/>
          <w:lang w:val="uz-Latn-UZ" w:eastAsia="zh-CN"/>
        </w:rPr>
        <w:t>Ushbu bakalavr yo‘nalishi har bir ish kunida ikki marta taklif etiladi. Talabalar ertalab yoki tushdan keyingi  o‘qish vaqtlariga ajratiladi.</w:t>
      </w:r>
    </w:p>
    <w:p w:rsidR="00897838" w:rsidRDefault="0054654B" w:rsidP="00C7575F">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Har bir bakalavriat dasturi, o‘rganish mavzusidan qat’i nazar, quyidagilarni o‘z ichiga olishi kerak:</w:t>
      </w:r>
    </w:p>
    <w:p w:rsidR="00C7575F" w:rsidRPr="00830616" w:rsidRDefault="00C7575F" w:rsidP="00C7575F">
      <w:pPr>
        <w:spacing w:after="0" w:line="276" w:lineRule="auto"/>
        <w:ind w:firstLine="851"/>
        <w:jc w:val="both"/>
        <w:rPr>
          <w:rFonts w:ascii="Times New Roman" w:hAnsi="Times New Roman" w:cs="Times New Roman"/>
          <w:sz w:val="24"/>
          <w:szCs w:val="24"/>
          <w:lang w:val="uz-Latn-UZ"/>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431"/>
      </w:tblGrid>
      <w:tr w:rsidR="00897838" w:rsidRPr="00830616" w:rsidTr="00C7575F">
        <w:trPr>
          <w:trHeight w:val="654"/>
          <w:jc w:val="center"/>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widowControl w:val="0"/>
              <w:autoSpaceDE w:val="0"/>
              <w:autoSpaceDN w:val="0"/>
              <w:adjustRightInd w:val="0"/>
              <w:snapToGrid w:val="0"/>
              <w:spacing w:after="0" w:line="276" w:lineRule="auto"/>
              <w:jc w:val="center"/>
              <w:rPr>
                <w:rFonts w:ascii="Times New Roman" w:hAnsi="Times New Roman" w:cs="Times New Roman"/>
                <w:b/>
                <w:sz w:val="24"/>
                <w:szCs w:val="24"/>
                <w:lang w:val="uz-Latn-UZ"/>
              </w:rPr>
            </w:pPr>
            <w:r w:rsidRPr="00830616">
              <w:rPr>
                <w:rFonts w:ascii="Times New Roman" w:hAnsi="Times New Roman" w:cs="Times New Roman"/>
                <w:b/>
                <w:sz w:val="24"/>
                <w:szCs w:val="24"/>
                <w:lang w:val="uz-Latn-UZ"/>
              </w:rPr>
              <w:t>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widowControl w:val="0"/>
              <w:autoSpaceDE w:val="0"/>
              <w:autoSpaceDN w:val="0"/>
              <w:adjustRightInd w:val="0"/>
              <w:snapToGrid w:val="0"/>
              <w:spacing w:after="0" w:line="276" w:lineRule="auto"/>
              <w:jc w:val="center"/>
              <w:rPr>
                <w:rFonts w:ascii="Times New Roman" w:hAnsi="Times New Roman" w:cs="Times New Roman"/>
                <w:b/>
                <w:sz w:val="24"/>
                <w:szCs w:val="24"/>
                <w:lang w:val="uz-Latn-UZ"/>
              </w:rPr>
            </w:pPr>
            <w:r w:rsidRPr="00830616">
              <w:rPr>
                <w:rFonts w:ascii="Times New Roman" w:hAnsi="Times New Roman" w:cs="Times New Roman"/>
                <w:b/>
                <w:sz w:val="24"/>
                <w:szCs w:val="24"/>
                <w:lang w:val="uz-Latn-UZ"/>
              </w:rPr>
              <w:t>Modullarga ajratilgan soatlar</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widowControl w:val="0"/>
              <w:autoSpaceDE w:val="0"/>
              <w:autoSpaceDN w:val="0"/>
              <w:adjustRightInd w:val="0"/>
              <w:snapToGrid w:val="0"/>
              <w:spacing w:after="0" w:line="276" w:lineRule="auto"/>
              <w:jc w:val="center"/>
              <w:rPr>
                <w:rFonts w:ascii="Times New Roman" w:hAnsi="Times New Roman" w:cs="Times New Roman"/>
                <w:b/>
                <w:sz w:val="24"/>
                <w:szCs w:val="24"/>
                <w:lang w:val="uz-Latn-UZ"/>
              </w:rPr>
            </w:pPr>
            <w:r w:rsidRPr="00830616">
              <w:rPr>
                <w:rFonts w:ascii="Times New Roman" w:hAnsi="Times New Roman" w:cs="Times New Roman"/>
                <w:b/>
                <w:sz w:val="24"/>
                <w:szCs w:val="24"/>
                <w:lang w:val="uz-Latn-UZ"/>
              </w:rPr>
              <w:t>Ajratilgan kredit</w:t>
            </w:r>
          </w:p>
        </w:tc>
      </w:tr>
      <w:tr w:rsidR="00897838" w:rsidRPr="00830616" w:rsidTr="00C7575F">
        <w:trPr>
          <w:trHeight w:val="309"/>
          <w:jc w:val="center"/>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widowControl w:val="0"/>
              <w:autoSpaceDE w:val="0"/>
              <w:autoSpaceDN w:val="0"/>
              <w:adjustRightInd w:val="0"/>
              <w:snapToGrid w:val="0"/>
              <w:spacing w:after="0" w:line="276" w:lineRule="auto"/>
              <w:jc w:val="center"/>
              <w:rPr>
                <w:rFonts w:ascii="Times New Roman" w:hAnsi="Times New Roman" w:cs="Times New Roman"/>
                <w:color w:val="000000"/>
                <w:sz w:val="24"/>
                <w:szCs w:val="24"/>
                <w:lang w:val="uz-Latn-UZ"/>
              </w:rPr>
            </w:pPr>
            <w:r w:rsidRPr="00830616">
              <w:rPr>
                <w:rFonts w:ascii="Times New Roman" w:hAnsi="Times New Roman" w:cs="Times New Roman"/>
                <w:color w:val="000000"/>
                <w:sz w:val="24"/>
                <w:szCs w:val="24"/>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highlight w:val="yellow"/>
                <w:lang w:val="uz-Latn-UZ"/>
              </w:rPr>
            </w:pPr>
            <w:r w:rsidRPr="00830616">
              <w:rPr>
                <w:rFonts w:ascii="Times New Roman" w:eastAsia="Calibri" w:hAnsi="Times New Roman" w:cs="Times New Roman"/>
                <w:bCs/>
                <w:sz w:val="24"/>
                <w:szCs w:val="24"/>
                <w:lang w:val="uz-Latn-UZ" w:bidi="ar"/>
              </w:rPr>
              <w:t>4175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highlight w:val="yellow"/>
                <w:lang w:val="uz-Latn-UZ"/>
              </w:rPr>
            </w:pPr>
            <w:r w:rsidRPr="00830616">
              <w:rPr>
                <w:rFonts w:ascii="Times New Roman" w:eastAsia="Calibri" w:hAnsi="Times New Roman" w:cs="Times New Roman"/>
                <w:bCs/>
                <w:sz w:val="24"/>
                <w:szCs w:val="24"/>
                <w:lang w:val="uz-Latn-UZ" w:bidi="ar"/>
              </w:rPr>
              <w:t>167</w:t>
            </w:r>
          </w:p>
        </w:tc>
      </w:tr>
      <w:tr w:rsidR="00897838" w:rsidRPr="00830616" w:rsidTr="00C7575F">
        <w:trPr>
          <w:trHeight w:val="201"/>
          <w:jc w:val="center"/>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color w:val="000000"/>
                <w:sz w:val="24"/>
                <w:szCs w:val="24"/>
                <w:lang w:val="uz-Latn-UZ"/>
              </w:rPr>
            </w:pPr>
            <w:r w:rsidRPr="00830616">
              <w:rPr>
                <w:rFonts w:ascii="Times New Roman" w:hAnsi="Times New Roman" w:cs="Times New Roman"/>
                <w:color w:val="000000"/>
                <w:sz w:val="24"/>
                <w:szCs w:val="24"/>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highlight w:val="yellow"/>
                <w:lang w:val="uz-Latn-UZ"/>
              </w:rPr>
            </w:pPr>
            <w:r w:rsidRPr="00830616">
              <w:rPr>
                <w:rFonts w:ascii="Times New Roman" w:eastAsia="Calibri" w:hAnsi="Times New Roman" w:cs="Times New Roman"/>
                <w:bCs/>
                <w:sz w:val="24"/>
                <w:szCs w:val="24"/>
                <w:lang w:val="uz-Latn-UZ" w:bidi="ar"/>
              </w:rPr>
              <w:t>925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highlight w:val="yellow"/>
                <w:lang w:val="uz-Latn-UZ"/>
              </w:rPr>
            </w:pPr>
            <w:r w:rsidRPr="00830616">
              <w:rPr>
                <w:rFonts w:ascii="Times New Roman" w:eastAsia="Calibri" w:hAnsi="Times New Roman" w:cs="Times New Roman"/>
                <w:bCs/>
                <w:sz w:val="24"/>
                <w:szCs w:val="24"/>
                <w:lang w:val="uz-Latn-UZ" w:bidi="ar"/>
              </w:rPr>
              <w:t>37</w:t>
            </w:r>
          </w:p>
        </w:tc>
      </w:tr>
      <w:tr w:rsidR="00897838" w:rsidRPr="00830616" w:rsidTr="00C7575F">
        <w:trPr>
          <w:trHeight w:val="289"/>
          <w:jc w:val="center"/>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widowControl w:val="0"/>
              <w:autoSpaceDE w:val="0"/>
              <w:autoSpaceDN w:val="0"/>
              <w:adjustRightInd w:val="0"/>
              <w:snapToGrid w:val="0"/>
              <w:spacing w:after="0" w:line="276" w:lineRule="auto"/>
              <w:jc w:val="center"/>
              <w:rPr>
                <w:rFonts w:ascii="Times New Roman" w:hAnsi="Times New Roman" w:cs="Times New Roman"/>
                <w:color w:val="000000"/>
                <w:sz w:val="24"/>
                <w:szCs w:val="24"/>
                <w:lang w:val="uz-Latn-UZ"/>
              </w:rPr>
            </w:pPr>
            <w:r w:rsidRPr="00830616">
              <w:rPr>
                <w:rFonts w:ascii="Times New Roman" w:hAnsi="Times New Roman" w:cs="Times New Roman"/>
                <w:color w:val="000000"/>
                <w:sz w:val="24"/>
                <w:szCs w:val="24"/>
                <w:lang w:val="uz-Latn-UZ"/>
              </w:rPr>
              <w:t>Amaliyot</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highlight w:val="yellow"/>
                <w:lang w:val="uz-Latn-UZ"/>
              </w:rPr>
            </w:pPr>
            <w:r w:rsidRPr="00830616">
              <w:rPr>
                <w:rFonts w:ascii="Times New Roman" w:hAnsi="Times New Roman" w:cs="Times New Roman"/>
                <w:bCs/>
                <w:color w:val="000000"/>
                <w:sz w:val="24"/>
                <w:szCs w:val="24"/>
                <w:lang w:val="uz-Latn-UZ"/>
              </w:rPr>
              <w:t>625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highlight w:val="yellow"/>
                <w:lang w:val="uz-Latn-UZ"/>
              </w:rPr>
            </w:pPr>
            <w:r w:rsidRPr="00830616">
              <w:rPr>
                <w:rFonts w:ascii="Times New Roman" w:hAnsi="Times New Roman" w:cs="Times New Roman"/>
                <w:bCs/>
                <w:color w:val="000000"/>
                <w:sz w:val="24"/>
                <w:szCs w:val="24"/>
                <w:lang w:val="uz-Latn-UZ"/>
              </w:rPr>
              <w:t>25</w:t>
            </w:r>
          </w:p>
        </w:tc>
      </w:tr>
      <w:tr w:rsidR="00897838" w:rsidRPr="00830616" w:rsidTr="00C7575F">
        <w:trPr>
          <w:trHeight w:val="266"/>
          <w:jc w:val="center"/>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widowControl w:val="0"/>
              <w:autoSpaceDE w:val="0"/>
              <w:autoSpaceDN w:val="0"/>
              <w:adjustRightInd w:val="0"/>
              <w:snapToGrid w:val="0"/>
              <w:spacing w:after="0" w:line="276" w:lineRule="auto"/>
              <w:jc w:val="center"/>
              <w:rPr>
                <w:rFonts w:ascii="Times New Roman" w:hAnsi="Times New Roman" w:cs="Times New Roman"/>
                <w:color w:val="000000"/>
                <w:sz w:val="24"/>
                <w:szCs w:val="24"/>
                <w:lang w:val="uz-Latn-UZ"/>
              </w:rPr>
            </w:pPr>
            <w:r w:rsidRPr="00830616">
              <w:rPr>
                <w:rFonts w:ascii="Times New Roman" w:hAnsi="Times New Roman" w:cs="Times New Roman"/>
                <w:color w:val="000000"/>
                <w:sz w:val="24"/>
                <w:szCs w:val="24"/>
                <w:lang w:val="uz-Latn-UZ"/>
              </w:rPr>
              <w:t>Yakuniy davlat attestatsiyasi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highlight w:val="yellow"/>
                <w:lang w:val="uz-Latn-UZ"/>
              </w:rPr>
            </w:pPr>
            <w:r w:rsidRPr="00830616">
              <w:rPr>
                <w:rFonts w:ascii="Times New Roman" w:hAnsi="Times New Roman" w:cs="Times New Roman"/>
                <w:bCs/>
                <w:color w:val="000000"/>
                <w:sz w:val="24"/>
                <w:szCs w:val="24"/>
                <w:lang w:val="uz-Latn-UZ"/>
              </w:rPr>
              <w:t>275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897838" w:rsidRPr="00830616" w:rsidRDefault="0054654B" w:rsidP="00C7575F">
            <w:pPr>
              <w:spacing w:after="0" w:line="276" w:lineRule="auto"/>
              <w:jc w:val="center"/>
              <w:rPr>
                <w:rFonts w:ascii="Times New Roman" w:hAnsi="Times New Roman" w:cs="Times New Roman"/>
                <w:bCs/>
                <w:color w:val="000000"/>
                <w:sz w:val="24"/>
                <w:szCs w:val="24"/>
                <w:lang w:val="uz-Latn-UZ"/>
              </w:rPr>
            </w:pPr>
            <w:r w:rsidRPr="00830616">
              <w:rPr>
                <w:rFonts w:ascii="Times New Roman" w:hAnsi="Times New Roman" w:cs="Times New Roman"/>
                <w:bCs/>
                <w:color w:val="000000"/>
                <w:sz w:val="24"/>
                <w:szCs w:val="24"/>
                <w:lang w:val="uz-Latn-UZ"/>
              </w:rPr>
              <w:t>11</w:t>
            </w:r>
          </w:p>
        </w:tc>
      </w:tr>
    </w:tbl>
    <w:p w:rsidR="00897838" w:rsidRPr="00830616" w:rsidRDefault="00897838" w:rsidP="00C7575F">
      <w:pPr>
        <w:spacing w:after="0" w:line="276" w:lineRule="auto"/>
        <w:ind w:firstLine="851"/>
        <w:jc w:val="both"/>
        <w:rPr>
          <w:rFonts w:ascii="Times New Roman" w:hAnsi="Times New Roman" w:cs="Times New Roman"/>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Har bir modulning mazmuni va tuzilishi, o‘qishga ajratilgan soatlar va har bir modul uchun ajratilgan kreditlar har bitta yo‘nalish uchun o‘quv qo'llanmada alohida keltirilgan. Ba’zi modullar barcha yo‘nalishlar uchun umumiydir (chunki barcha huquqshunos talabalar tegishli fundamental nazariyalar, tushunchalar va tamoyillarni o‘rganishlari kerak), boshqa modullar esa tanlangan o‘quv yo‘nalishiga xosdir. Barcha modullar haqidagi ma’lumotlar modullar katalogida mavjud. </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Talabalar yakuniy davlat </w:t>
      </w:r>
      <w:r w:rsidRPr="00830616">
        <w:rPr>
          <w:rFonts w:ascii="Times New Roman" w:hAnsi="Times New Roman" w:cs="Times New Roman"/>
          <w:color w:val="000000"/>
          <w:sz w:val="24"/>
          <w:szCs w:val="24"/>
          <w:lang w:val="uz-Latn-UZ"/>
        </w:rPr>
        <w:t>attestatsiyasi</w:t>
      </w:r>
      <w:r w:rsidRPr="00830616">
        <w:rPr>
          <w:rFonts w:ascii="Times New Roman" w:hAnsi="Times New Roman" w:cs="Times New Roman"/>
          <w:sz w:val="24"/>
          <w:szCs w:val="24"/>
          <w:lang w:val="uz-Latn-UZ"/>
        </w:rPr>
        <w:t>ni topshirish o‘rniga, bir xil kreditga ega bo‘lgan o’z ta’lim yo‘nalishlaridagi fan bo‘yicha bitiruv ishini yozish va himoya qilishni tanlashlari mumkin.</w:t>
      </w: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Barcha talabalar bitiruv ishi mavzusiga asoslangan holda yoki ta’lim yo‘nalishi bilan bog‘liq bo‘lgan holda o‘zlari tanlagan tashkilotda amaliyot o‘tashlari kerak. Amaliyot bir semestr davom etadi.</w:t>
      </w:r>
    </w:p>
    <w:p w:rsidR="00E23DEA" w:rsidRDefault="00E23DEA" w:rsidP="00C7575F">
      <w:pPr>
        <w:spacing w:after="0" w:line="276" w:lineRule="auto"/>
        <w:ind w:firstLine="851"/>
        <w:jc w:val="both"/>
        <w:rPr>
          <w:rFonts w:ascii="Times New Roman" w:hAnsi="Times New Roman" w:cs="Times New Roman"/>
          <w:sz w:val="24"/>
          <w:szCs w:val="24"/>
          <w:lang w:val="uz-Latn-UZ"/>
        </w:rPr>
      </w:pPr>
    </w:p>
    <w:p w:rsidR="00897838" w:rsidRDefault="00C7575F" w:rsidP="00C7575F">
      <w:pPr>
        <w:spacing w:after="0" w:line="276" w:lineRule="auto"/>
        <w:ind w:firstLine="851"/>
        <w:jc w:val="both"/>
        <w:rPr>
          <w:rFonts w:ascii="Times New Roman" w:hAnsi="Times New Roman" w:cs="Times New Roman"/>
          <w:b/>
          <w:bCs/>
          <w:sz w:val="24"/>
          <w:szCs w:val="24"/>
          <w:lang w:val="uz-Latn-UZ"/>
        </w:rPr>
      </w:pPr>
      <w:bookmarkStart w:id="1" w:name="_Hlk150008988"/>
      <w:r>
        <w:rPr>
          <w:rFonts w:ascii="Times New Roman" w:hAnsi="Times New Roman" w:cs="Times New Roman"/>
          <w:b/>
          <w:bCs/>
          <w:sz w:val="24"/>
          <w:szCs w:val="24"/>
          <w:lang w:val="uz-Latn-UZ"/>
        </w:rPr>
        <w:t xml:space="preserve">Ta’lim </w:t>
      </w:r>
      <w:r w:rsidR="00E23DEA">
        <w:rPr>
          <w:rFonts w:ascii="Times New Roman" w:hAnsi="Times New Roman" w:cs="Times New Roman"/>
          <w:b/>
          <w:bCs/>
          <w:sz w:val="24"/>
          <w:szCs w:val="24"/>
          <w:lang w:val="uz-Latn-UZ"/>
        </w:rPr>
        <w:t xml:space="preserve">olish va o‘qitish </w:t>
      </w:r>
      <w:r>
        <w:rPr>
          <w:rFonts w:ascii="Times New Roman" w:hAnsi="Times New Roman" w:cs="Times New Roman"/>
          <w:b/>
          <w:bCs/>
          <w:sz w:val="24"/>
          <w:szCs w:val="24"/>
          <w:lang w:val="uz-Latn-UZ"/>
        </w:rPr>
        <w:t xml:space="preserve">strategiyalari </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eastAsia="Calibri" w:hAnsi="Times New Roman" w:cs="Times New Roman"/>
          <w:sz w:val="24"/>
          <w:szCs w:val="24"/>
          <w:lang w:val="uz-Latn-UZ" w:bidi="ar"/>
        </w:rPr>
      </w:pPr>
      <w:r w:rsidRPr="00830616">
        <w:rPr>
          <w:rFonts w:ascii="Times New Roman" w:eastAsia="Calibri" w:hAnsi="Times New Roman" w:cs="Times New Roman"/>
          <w:sz w:val="24"/>
          <w:szCs w:val="24"/>
          <w:lang w:val="uz-Latn-UZ" w:bidi="ar"/>
        </w:rPr>
        <w:t xml:space="preserve">Toshkent davlat yuridik universitetining oʻqitish strategiyasi talabaga yoʻnaltirilgan interfaol taʼlimni ragʻbatlantirish, global ta’lim muhitida ta’lim beruvchi va ta’lim oluvchilar uchun istiqbolli yondashuvlar mavjudligini eʼtirof etadigan muhitni targʻib qilishdan iborat.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w:t>
      </w:r>
    </w:p>
    <w:p w:rsidR="00897838" w:rsidRPr="00830616" w:rsidRDefault="0054654B" w:rsidP="00C7575F">
      <w:pPr>
        <w:spacing w:after="0" w:line="276" w:lineRule="auto"/>
        <w:ind w:firstLine="851"/>
        <w:jc w:val="both"/>
        <w:rPr>
          <w:rFonts w:ascii="Times New Roman" w:eastAsia="Calibri" w:hAnsi="Times New Roman" w:cs="Times New Roman"/>
          <w:sz w:val="24"/>
          <w:szCs w:val="24"/>
          <w:lang w:val="uz-Latn-UZ" w:bidi="ar"/>
        </w:rPr>
      </w:pPr>
      <w:r w:rsidRPr="00830616">
        <w:rPr>
          <w:rFonts w:ascii="Times New Roman" w:eastAsia="Calibri" w:hAnsi="Times New Roman" w:cs="Times New Roman"/>
          <w:sz w:val="24"/>
          <w:szCs w:val="24"/>
          <w:lang w:val="uz-Latn-UZ"/>
        </w:rPr>
        <w:t>Yuqorida ta’kidlab o‘tilganidek, o‘quv qo‘llanmalarida har bir yo‘nalish nimadan iboratligi ko‘rsatilgan. Bakalavr bosqichidagi har qanday yuridik ta’limda asosiy elementlar zarur bo‘lgani sababli, ular hamma uchun umumiydir. Modul rejalari va oʻquv dasturlari talabalarning oʻqishini qoʻllab-quvvatlash uchun ham ishlab chiqilgan boʻlib, ularda oʻquv jadvallari, oʻtiladigan mavzular tafsilotlari va tavsiya etilgan adabiyotlar/resurslar mavjud.  Har bir modul rejasi mazkur moduldan kutilayotgan natijalarni belgilaydi, shuningdek, modulni o‘rganish bo‘yicha maslahat beradi. Qo‘shimcha manbalar va yo‘riqnomalar alohida modullardagi muayyan masalalarni qamrab olish uchun qog‘oz nusxada va/yoki onlayn tarzda taqdim etiladi.</w:t>
      </w: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bidi="ar"/>
        </w:rPr>
        <w:t>O‘qitish jarayoni turli ta’limiy metod va texnologiyalarni tadbiq qilgan holda amalga oshiriladi. Barcha ma’ruza mashg‘ulotlari onlayn shaklda, belgilangan seminar mashg‘ulotlari esa universitetda bilvosita (oflayn) tarzda, interaktiv baxs-munozara shaklida tashkil etiladi. Dars mashg‘ulotlarida o‘qitishning boshqa usullari ham qo‘llaniladi, jumladan, amaliy tadqiqotlar olib borish, talabalarni juftlik va kichik guruhlarga bo‘lish, sud simulyatsiyasi, mustaqil hamda individual yo‘naltirilgan o‘qitish texnologiyalari orqali olib boriladi. Gibrid o‘qitish (an’anaviy va masofaviy) zaruriyatga qarab qo‘llaniladi. Mahg‘ulotlar davomida barcha talabalarning dars mashg‘ulotlaridagi faol ishtirokiga alohida e’tibor qaratiladi. S</w:t>
      </w:r>
      <w:r w:rsidRPr="00830616">
        <w:rPr>
          <w:rFonts w:ascii="Times New Roman" w:hAnsi="Times New Roman" w:cs="Times New Roman"/>
          <w:sz w:val="24"/>
          <w:szCs w:val="24"/>
          <w:lang w:val="uz-Latn-UZ"/>
        </w:rPr>
        <w:t>hu maqsadda o‘qitish va ta’limning ta’siri, strategiya va amaliyotda takomillashtirishning mumkin bo‘lgan jihatlari haqida hisobot beradigan va monitoring qiladigan xodimlar/talabalar qo‘mitasi tayinlanishi kerak.</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Default="00C7575F" w:rsidP="00C7575F">
      <w:pPr>
        <w:spacing w:after="0" w:line="276" w:lineRule="auto"/>
        <w:ind w:firstLine="851"/>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 xml:space="preserve">Assessment va baholash </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Times New Roman" w:hAnsi="Times New Roman" w:cs="Times New Roman"/>
          <w:kern w:val="0"/>
          <w:sz w:val="24"/>
          <w:szCs w:val="24"/>
          <w:lang w:val="uz-Latn-UZ" w:eastAsia="en-GB"/>
          <w14:ligatures w14:val="none"/>
        </w:rPr>
        <w:t xml:space="preserve">Ta’lim dasturidan kutilgan yuqoridagi bilimlar (TDKN </w:t>
      </w:r>
      <w:r w:rsidRPr="00830616">
        <w:rPr>
          <w:rFonts w:ascii="Times New Roman" w:hAnsi="Times New Roman" w:cs="Times New Roman"/>
          <w:sz w:val="24"/>
          <w:szCs w:val="24"/>
          <w:lang w:val="uz-Latn-UZ"/>
        </w:rPr>
        <w:t>I</w:t>
      </w:r>
      <w:r w:rsidRPr="00830616">
        <w:rPr>
          <w:rFonts w:ascii="Times New Roman" w:eastAsia="Times New Roman" w:hAnsi="Times New Roman" w:cs="Times New Roman"/>
          <w:kern w:val="0"/>
          <w:sz w:val="24"/>
          <w:szCs w:val="24"/>
          <w:lang w:val="uz-Latn-UZ" w:eastAsia="en-GB"/>
          <w14:ligatures w14:val="none"/>
        </w:rPr>
        <w:t>-I</w:t>
      </w:r>
      <w:r w:rsidRPr="00830616">
        <w:rPr>
          <w:rFonts w:ascii="Times New Roman" w:hAnsi="Times New Roman" w:cs="Times New Roman"/>
          <w:sz w:val="24"/>
          <w:szCs w:val="24"/>
          <w:lang w:val="uz-Latn-UZ"/>
        </w:rPr>
        <w:t>V</w:t>
      </w:r>
      <w:r w:rsidRPr="00830616">
        <w:rPr>
          <w:rFonts w:ascii="Times New Roman" w:eastAsia="Times New Roman" w:hAnsi="Times New Roman" w:cs="Times New Roman"/>
          <w:kern w:val="0"/>
          <w:sz w:val="24"/>
          <w:szCs w:val="24"/>
          <w:lang w:val="uz-Latn-UZ" w:eastAsia="en-GB"/>
          <w14:ligatures w14:val="none"/>
        </w:rPr>
        <w:t xml:space="preserve">) modullardan kutilgan natijalar (MKN)ga singdiriladi va MKNlar orqali baholanadi. Baholash modullardan kelib chiqqan holda esselar yozish, topshiriqlar oldindan taqdim etiladigan va taqdim etilmaydigan, auditoriyada manabalardan foydalanish mumkin bo‘lgan va foydalanish mumkin bo‘lmagan hamda boshqa turli shakllardagi formativ, oraliq va yakuniy assessment shaklida amalga oshiriladi.  </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Formativ baholash talabalar dars mashg‘ulotlari davomida vazifaning to‘g‘ri bajarganligi e’tirofi bilan bir qatorda yo‘l qo‘yilgan kamchiliklarni ko‘rsatish uchun qo‘llaniladi. Talabalar o‘z fikr-mulohazalarini va fanga oid har qanday masalalarini professor o‘qituvchilar bilan muhokama qilishlariga urg‘u beriladi.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Summativ baholash oraliq nazorati imtihonlari va yakuniy nazorati imtihonlari orqali amalga oshiriladi. Oraliq nazorati imtihonlari (har bir modul uchun individual shaklga ega bo‘lib modul dasturida batafsil bayon etiladi) 100 ballik tizimdan 40 ball bilan baholanadi va yakuniy nazorat imtihonlari esa (muammoli vaziyatlarga asoslangan kazuslardan tashkil topadi va maxsus imtihon zallarida TDYUning o‘quv boshqaruv tizimi orqali kompyuterda o‘tkaziladi) 100 ballik tizimdan 60 ball bilan baholanadi. Talabalar tomonidan yozilgan imtihon javoblari professor-o‘qituvchi tomonidan baholab izohlanadi. </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Oraliq nazoratini baholash tartibi har bir modul uchun alohida ishlab chiqiladi va tegishli baholash mezonlarida batafsil ko‘rsatiladi. Yakuniy nazorat imtihonlari baholash mezonlari barcha imtihonlar uchun bir xil bo‘lib, Adliya vazirligining tavsiyalari etiborga olingan holda Universitet Kengashi tomonidan moslashtiriladi va tasdiqlanadi. </w:t>
      </w:r>
    </w:p>
    <w:p w:rsidR="00897838" w:rsidRDefault="0054654B" w:rsidP="00C7575F">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 xml:space="preserve">Batafsil ma’lumot: </w:t>
      </w:r>
      <w:hyperlink r:id="rId9" w:history="1">
        <w:r w:rsidRPr="00830616">
          <w:rPr>
            <w:rStyle w:val="a4"/>
            <w:rFonts w:ascii="Times New Roman" w:hAnsi="Times New Roman" w:cs="Times New Roman"/>
            <w:sz w:val="24"/>
            <w:szCs w:val="24"/>
            <w:lang w:val="uz-Latn-UZ"/>
          </w:rPr>
          <w:t>https://lex.uz/docs/-2935457</w:t>
        </w:r>
      </w:hyperlink>
      <w:r w:rsidRPr="00830616">
        <w:rPr>
          <w:rFonts w:ascii="Times New Roman" w:eastAsia="Calibri" w:hAnsi="Times New Roman" w:cs="Times New Roman"/>
          <w:sz w:val="24"/>
          <w:szCs w:val="24"/>
          <w:lang w:val="uz-Latn-UZ" w:eastAsia="zh-CN" w:bidi="ar"/>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rsidR="00C7575F" w:rsidRPr="00830616" w:rsidRDefault="00C7575F" w:rsidP="00C7575F">
      <w:pPr>
        <w:spacing w:after="0" w:line="276" w:lineRule="auto"/>
        <w:ind w:firstLine="851"/>
        <w:jc w:val="both"/>
        <w:rPr>
          <w:rFonts w:ascii="Times New Roman" w:hAnsi="Times New Roman" w:cs="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Modullarni o‘zlashtirish</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 xml:space="preserve">Barcha talabalar universitetni bitirishdan avval barcha tegishli modullarini muvaffaqiyatli tamomlagan (o‘zlashtirgan) bo‘lishlari kerak. </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bookmarkStart w:id="2" w:name="_GoBack"/>
      <w:r w:rsidRPr="00830616">
        <w:rPr>
          <w:rFonts w:ascii="Times New Roman" w:eastAsia="Calibri" w:hAnsi="Times New Roman" w:cs="Times New Roman"/>
          <w:sz w:val="24"/>
          <w:szCs w:val="24"/>
          <w:lang w:val="uz-Latn-UZ" w:bidi="ar"/>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 qo‘shimcha intensiv kurslarga qatnashishlari imkoniyati beriladi. Agar ular ushbu kurslardan so‘ng ham modulni topshira olmasa yoki 3 tadan ko‘p </w:t>
      </w:r>
      <w:r w:rsidRPr="00830616">
        <w:rPr>
          <w:rFonts w:ascii="Times New Roman" w:eastAsia="Calibri" w:hAnsi="Times New Roman" w:cs="Times New Roman"/>
          <w:sz w:val="24"/>
          <w:szCs w:val="24"/>
          <w:lang w:val="uz-Latn-UZ" w:eastAsia="zh-CN" w:bidi="ar"/>
        </w:rPr>
        <w:t xml:space="preserve">bo‘lgan modullarni muvaffaqiyatli yakunlay olishmasa, ular keyingi o‘quv yilida faqat muvaffaqiyatli yakunlay olmagan modullarinigina qayta o‘zlashtirishlari va faqat ushbu modullar bo‘yicha imtihon topshiradilar. </w:t>
      </w:r>
    </w:p>
    <w:bookmarkEnd w:id="2"/>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qoidalar bo‘yicha, muvaffaqiyatli tamomlanmagan modullar soniga qarab, tegishli tartibda qayta o‘zlashtirishi kerak bo‘ladi.</w:t>
      </w:r>
    </w:p>
    <w:p w:rsidR="00897838" w:rsidRDefault="0054654B" w:rsidP="00C7575F">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 xml:space="preserve">TDYUning o‘ziga xos xususiyati har bir talabaning muvaffaqiyatga erishishlarida shart-sharoit va imkoniyat yaratilishidadur. </w:t>
      </w:r>
    </w:p>
    <w:p w:rsidR="00C7575F" w:rsidRPr="00830616" w:rsidRDefault="00C7575F" w:rsidP="00C7575F">
      <w:pPr>
        <w:spacing w:after="0" w:line="276" w:lineRule="auto"/>
        <w:ind w:firstLine="851"/>
        <w:jc w:val="both"/>
        <w:rPr>
          <w:rFonts w:ascii="Times New Roman" w:hAnsi="Times New Roman" w:cs="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Talabalarni qo‘llab-quvvatlash</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TDYU tomonidan talabalarga xizmat ko‘rsatish sifatini oshirish borasida, talabalar tutorlarga biriktiriladi. Tyutorlarning asosiy funksional vazifasi talabalar o‘qishi bilan bog‘liq masalalar, tadqiqotlar olib borish va talabalar duch kelishi mumkin bo‘lgan qator shaxsiy muammolar bilan bog‘liq hollarda qo‘llab-quvvatlash va rahbarlik qilishdir. Har bir tutor 150-200 nafargacha talaba uchun mas’ul. Tutorlar o‘z guruhlari bilan tizimli muloqot olib borish, axborot sessiyalari uchun vaqt ajratish, turli individual va shaxsiy maslahatlarga professional tarzda munosabatda bo‘lish va lozim topilsa boshqa professional yordamning tegishli manbalarini, shu jumladan akademik bo‘limlar va maslahatchilar hamda shifokorlar kabi boshqa tegishli xodimlarning yordamini aniqlash va ularga yo‘naltirish uchun mas’ul. (Universitet rektorining 2021-yil 2-iyundagi 08-145-son buyrug‘i) </w:t>
      </w:r>
    </w:p>
    <w:p w:rsidR="00897838"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TDYU Talabalar assotsiatsiyasi mentorlik dasturi asosida faoliyat olib boradi, unda tajribali talabalar kamroq tajribaga ega bo‘lgan talabalarga yo‘l-yo‘riq ko‘rsatadilar. Bundan tashqari talabalar assotsiatsiyasi, turli to‘garaklar tashkil etish orqali, masalan, notiqlik, IT va akademik yozish bo‘yicha talabalar o‘zlarining qattiq ko’nikmalar (hard skills) va yumshoq ko’nikmalar (soft skills)ni yanada rivojlantirishdan iborat. </w:t>
      </w:r>
    </w:p>
    <w:p w:rsidR="00C7575F" w:rsidRPr="00830616" w:rsidRDefault="00C7575F" w:rsidP="00C7575F">
      <w:pPr>
        <w:spacing w:after="0" w:line="276" w:lineRule="auto"/>
        <w:ind w:firstLine="851"/>
        <w:jc w:val="both"/>
        <w:rPr>
          <w:rFonts w:ascii="Times New Roman" w:hAnsi="Times New Roman" w:cs="Times New Roman"/>
          <w:sz w:val="24"/>
          <w:szCs w:val="24"/>
          <w:lang w:val="uz-Latn-UZ"/>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Bitiruvchilarning ishga joylashishi va ularni kasbga yo‘naltirish</w:t>
      </w:r>
    </w:p>
    <w:p w:rsidR="00C7575F" w:rsidRPr="00830616" w:rsidRDefault="00C7575F" w:rsidP="00C7575F">
      <w:pPr>
        <w:spacing w:after="0" w:line="276" w:lineRule="auto"/>
        <w:ind w:firstLine="851"/>
        <w:jc w:val="both"/>
        <w:rPr>
          <w:rFonts w:ascii="Times New Roman" w:hAnsi="Times New Roman" w:cs="Times New Roman"/>
          <w:b/>
          <w:bCs/>
          <w:sz w:val="24"/>
          <w:szCs w:val="24"/>
          <w:lang w:val="uz-Latn-UZ"/>
        </w:rPr>
      </w:pP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bidi="ar"/>
        </w:rPr>
        <w:t>Ushbu dastur spetsifikatsiyasi talaba o‘qishni tugatgandan so‘ng egallashi mumkin bo‘lgan natijalarni belgilash va ishga joylashishlariga yordam berish uchun xizmat qiladi. Talabalar o‘qish davomida o‘zlashtirgan bilim, malaka-ko‘nikmalarini rivojlantirishlari bilan bir qatorda bugungi kunda ish beruvchilar va bozor ehtiyojlariga mos keladigan zamonaviy bilim, ko‘nikma va qadriyatlarga ega bo‘lishlari</w:t>
      </w:r>
      <w:r w:rsidRPr="00830616">
        <w:rPr>
          <w:rFonts w:ascii="Times New Roman" w:hAnsi="Times New Roman" w:cs="Times New Roman"/>
          <w:sz w:val="24"/>
          <w:szCs w:val="24"/>
          <w:lang w:val="uz-Latn-UZ"/>
        </w:rPr>
        <w:t xml:space="preserve"> kerak.</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Universitet o‘z bitiruvchilarining kelgusida muvaffaqiyatli ishga joylashishlariga jiddiy e’tibor qaratadi. Bunda, magistratura bosqichi bitiruvchilarini mavjud bo‘sh ish o‘rinlari bilan tanishtirish, kasbga doir faoliyat tajribasiga ega bo‘lishda yordam berish va, zarurat bo‘lsa, o‘qish davomida qisqa muddatli ish bilan ta’minlashga qaratilgan chora-tadbirlarni tizimli amalga oshirib boradi.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Mazkur masalalarda maslahat berish uchun TDYUda Karyera bo‘limi mavjud bo‘lib ushbu bo‘lim, sudyalar, advokatlar, prokurorlar, notariuslar, ombudsmanlar va boshqa yuridik sohaga aloqador bo‘lmagan mutaxassislar ishtirokida turli seminarlar tashkil etish va talabalarga ish topish yuzasidan maslahatlar berib boradi. </w:t>
      </w:r>
      <w:r w:rsidRPr="00830616">
        <w:rPr>
          <w:rFonts w:ascii="Times New Roman" w:hAnsi="Times New Roman" w:cs="Times New Roman"/>
          <w:sz w:val="24"/>
          <w:szCs w:val="24"/>
          <w:lang w:val="uz-Latn-UZ"/>
        </w:rPr>
        <w:t>Ushbu seminarlarga qo‘shimcha ravishda Toshkent davlat yuridik universiteti hozirda davlat, tijorat va notijorat sektoridagi 37 ta tashkilot bilan o‘zaro anglashuv memorandumlariga ega bo‘lib, ular orqali amaliyot (ba’zilari pullik va ba’zilari bepul) taklif etiladi va tashkil etiladi. Talabalar o‘qishning boshidanoq bu kelishuvdan foydalanishlari mumkin. Ko‘pchilik, amaliyotni muvaffaqiyatli o‘tkazgandan so‘ng, qisqa muddatli ish bilan ta’minlanadi.</w:t>
      </w:r>
    </w:p>
    <w:p w:rsidR="00897838" w:rsidRPr="00830616" w:rsidRDefault="0054654B" w:rsidP="00C7575F">
      <w:pPr>
        <w:spacing w:after="0" w:line="276" w:lineRule="auto"/>
        <w:ind w:firstLine="851"/>
        <w:jc w:val="both"/>
        <w:rPr>
          <w:rFonts w:ascii="Times New Roman" w:eastAsia="Calibri" w:hAnsi="Times New Roman" w:cs="Times New Roman"/>
          <w:sz w:val="24"/>
          <w:szCs w:val="24"/>
          <w:lang w:val="uz-Latn-UZ" w:eastAsia="zh-CN" w:bidi="ar"/>
        </w:rPr>
      </w:pPr>
      <w:r w:rsidRPr="00830616">
        <w:rPr>
          <w:rFonts w:ascii="Times New Roman" w:eastAsia="Calibri" w:hAnsi="Times New Roman" w:cs="Times New Roman"/>
          <w:sz w:val="24"/>
          <w:szCs w:val="24"/>
          <w:lang w:val="uz-Latn-UZ" w:eastAsia="zh-CN" w:bidi="ar"/>
        </w:rPr>
        <w:t>Karyera bo‘limi shuningdek, onlayn tarzda ham talabalarga individual maslahatlar beradi,  bo‘sh ish o‘rinlari hamda ko‘ngilli ishlarni o‘z ijtimoiy tarmoqlarida e’lon qilib boradi.</w:t>
      </w:r>
    </w:p>
    <w:p w:rsidR="00897838" w:rsidRDefault="0054654B" w:rsidP="00C7575F">
      <w:pPr>
        <w:spacing w:after="0" w:line="276" w:lineRule="auto"/>
        <w:ind w:firstLine="851"/>
        <w:jc w:val="both"/>
        <w:rPr>
          <w:rFonts w:ascii="Times New Roman" w:eastAsia="Calibri" w:hAnsi="Times New Roman" w:cs="Times New Roman"/>
          <w:sz w:val="24"/>
          <w:szCs w:val="24"/>
          <w:lang w:val="uz-Latn-UZ" w:eastAsia="zh-CN"/>
        </w:rPr>
      </w:pPr>
      <w:r w:rsidRPr="00830616">
        <w:rPr>
          <w:rFonts w:ascii="Times New Roman" w:eastAsia="Calibri" w:hAnsi="Times New Roman" w:cs="Times New Roman"/>
          <w:sz w:val="24"/>
          <w:szCs w:val="24"/>
          <w:lang w:val="uz-Latn-UZ" w:eastAsia="zh-CN"/>
        </w:rPr>
        <w:t>Toshkent davlat yuridik universiteti o‘zining yuridik klinikasini, shu jumladan Street Law loyihasini boshqaradi. Yuridik klinikada talabalar fakultet a’zolari nazorati ostida mijozlarga ularning ishlarida yordam berish orqali nazariyani amaliyotda qo‘llashlari mumkin. Street Law loyihasida talabalar tegishli nazorat ostida maktab o‘quvchilariga kundalik hayotlarida yuzaga kelishi mumkin bo‘lgan huquqiy masalalarni o‘rgatish imkoniyatiga ega. Bu nafaqat ish tajribasi bilan ta’minlaydi, balki talabalarga kelgusi ish faoliyatlarida zarur bo‘ladigan o‘tkaziladigan ko‘nikmalar (transferable skills)ni shakllantirish va rivojlantirishga yordam beradi.</w:t>
      </w:r>
    </w:p>
    <w:p w:rsidR="00C7575F" w:rsidRPr="00830616" w:rsidRDefault="00C7575F" w:rsidP="00C7575F">
      <w:pPr>
        <w:spacing w:after="0" w:line="276" w:lineRule="auto"/>
        <w:ind w:firstLine="851"/>
        <w:jc w:val="both"/>
        <w:rPr>
          <w:rFonts w:ascii="Times New Roman" w:eastAsia="Calibri" w:hAnsi="Times New Roman" w:cs="Times New Roman"/>
          <w:sz w:val="24"/>
          <w:szCs w:val="24"/>
          <w:lang w:val="uz-Latn-UZ" w:eastAsia="zh-CN" w:bidi="ar"/>
        </w:rPr>
      </w:pPr>
    </w:p>
    <w:p w:rsidR="00897838" w:rsidRDefault="0054654B" w:rsidP="00C7575F">
      <w:pPr>
        <w:spacing w:after="0" w:line="276" w:lineRule="auto"/>
        <w:ind w:firstLine="851"/>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 sifat</w:t>
      </w:r>
      <w:r w:rsidR="006537CF">
        <w:rPr>
          <w:rFonts w:ascii="Times New Roman" w:hAnsi="Times New Roman" w:cs="Times New Roman"/>
          <w:b/>
          <w:bCs/>
          <w:sz w:val="24"/>
          <w:szCs w:val="24"/>
          <w:lang w:val="uz-Latn-UZ"/>
        </w:rPr>
        <w:t>i</w:t>
      </w:r>
      <w:r w:rsidRPr="00830616">
        <w:rPr>
          <w:rFonts w:ascii="Times New Roman" w:hAnsi="Times New Roman" w:cs="Times New Roman"/>
          <w:b/>
          <w:bCs/>
          <w:sz w:val="24"/>
          <w:szCs w:val="24"/>
          <w:lang w:val="uz-Latn-UZ"/>
        </w:rPr>
        <w:t>ni baholash</w:t>
      </w:r>
      <w:r w:rsidR="006537CF">
        <w:rPr>
          <w:rFonts w:ascii="Times New Roman" w:hAnsi="Times New Roman" w:cs="Times New Roman"/>
          <w:b/>
          <w:bCs/>
          <w:sz w:val="24"/>
          <w:szCs w:val="24"/>
          <w:lang w:val="uz-Latn-UZ"/>
        </w:rPr>
        <w:t xml:space="preserve"> va oshirish</w:t>
      </w:r>
    </w:p>
    <w:p w:rsidR="00C7575F" w:rsidRPr="00830616" w:rsidRDefault="00C7575F" w:rsidP="00C7575F">
      <w:pPr>
        <w:spacing w:after="0" w:line="276" w:lineRule="auto"/>
        <w:ind w:firstLine="851"/>
        <w:jc w:val="both"/>
        <w:rPr>
          <w:rFonts w:ascii="Times New Roman" w:hAnsi="Times New Roman" w:cs="Times New Roman"/>
          <w:sz w:val="24"/>
          <w:szCs w:val="24"/>
          <w:lang w:val="uz-Latn-UZ"/>
        </w:rPr>
      </w:pPr>
    </w:p>
    <w:bookmarkEnd w:id="1"/>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TDYUda ta’lim sifatini baholash va takomillashtirish bo‘yicha ichki siyosat va tartib-qoidalar mavjud. Universitet ushbu jarayonda har doim shaffoflikni ta’minlashga harakat qiladi. Bunda barcha tegishli manfaatdor tomonlar universitetning dastur </w:t>
      </w:r>
      <w:r w:rsidR="006537CF">
        <w:rPr>
          <w:rFonts w:ascii="Times New Roman" w:eastAsia="Calibri" w:hAnsi="Times New Roman" w:cs="Times New Roman"/>
          <w:sz w:val="24"/>
          <w:szCs w:val="24"/>
          <w:lang w:val="uz-Latn-UZ" w:eastAsia="zh-CN" w:bidi="ar"/>
        </w:rPr>
        <w:t>profillari</w:t>
      </w:r>
      <w:r w:rsidRPr="00830616">
        <w:rPr>
          <w:rFonts w:ascii="Times New Roman" w:eastAsia="Calibri" w:hAnsi="Times New Roman" w:cs="Times New Roman"/>
          <w:sz w:val="24"/>
          <w:szCs w:val="24"/>
          <w:lang w:val="uz-Latn-UZ" w:eastAsia="zh-CN" w:bidi="ar"/>
        </w:rPr>
        <w:t>, ta’lim yo‘nalishlari va modullar shakli va mazmuni, shuningdek, natijalar va sifatni ta’minlash jarayonlari bo‘yicha ma’lumotlarni muntazam ravishda olishlari mumkin bo‘ladi.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TDYUning Ta’lim sifatini nazorat qilish bo‘limi dastur bo‘yicha davomli ichki monitoringni amalga oshiradi va to‘plangan natijalarga asoslanib, zarur bo‘lgan takomillashtirish</w:t>
      </w:r>
      <w:r w:rsidR="006537CF">
        <w:rPr>
          <w:rFonts w:ascii="Times New Roman" w:eastAsia="Calibri" w:hAnsi="Times New Roman" w:cs="Times New Roman"/>
          <w:sz w:val="24"/>
          <w:szCs w:val="24"/>
          <w:lang w:val="uz-Latn-UZ" w:eastAsia="zh-CN" w:bidi="ar"/>
        </w:rPr>
        <w:t>ga qaratilgan</w:t>
      </w:r>
      <w:r w:rsidRPr="00830616">
        <w:rPr>
          <w:rFonts w:ascii="Times New Roman" w:eastAsia="Calibri" w:hAnsi="Times New Roman" w:cs="Times New Roman"/>
          <w:sz w:val="24"/>
          <w:szCs w:val="24"/>
          <w:lang w:val="uz-Latn-UZ" w:eastAsia="zh-CN" w:bidi="ar"/>
        </w:rPr>
        <w:t xml:space="preserve"> chora-tadbirlarini amalga oshiradi.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Bundan tashqari, akkreditatsiya jarayoni doirasida TDYUning Ta’lim sifatini nazorat qilish bo‘limi har </w:t>
      </w:r>
      <w:r w:rsidR="006537CF">
        <w:rPr>
          <w:rFonts w:ascii="Times New Roman" w:eastAsia="Calibri" w:hAnsi="Times New Roman" w:cs="Times New Roman"/>
          <w:sz w:val="24"/>
          <w:szCs w:val="24"/>
          <w:lang w:val="uz-Latn-UZ" w:eastAsia="zh-CN" w:bidi="ar"/>
        </w:rPr>
        <w:t>4</w:t>
      </w:r>
      <w:r w:rsidRPr="00830616">
        <w:rPr>
          <w:rFonts w:ascii="Times New Roman" w:eastAsia="Calibri" w:hAnsi="Times New Roman" w:cs="Times New Roman"/>
          <w:sz w:val="24"/>
          <w:szCs w:val="24"/>
          <w:lang w:val="uz-Latn-UZ" w:eastAsia="zh-CN" w:bidi="ar"/>
        </w:rPr>
        <w:t xml:space="preserve"> yilda ichki monitoring o‘tkazadi, bu esa universitet tomonidan taqdim etilgan hisobot asosida Oliy ta’lim, fan va innovatsiyalar vazirligi tomonidan ko‘rib chiqiladi.</w:t>
      </w:r>
    </w:p>
    <w:p w:rsidR="00897838" w:rsidRPr="00830616" w:rsidRDefault="0054654B" w:rsidP="00C7575F">
      <w:pPr>
        <w:spacing w:after="0" w:line="276" w:lineRule="auto"/>
        <w:ind w:firstLine="851"/>
        <w:jc w:val="both"/>
        <w:rPr>
          <w:rFonts w:ascii="Times New Roman" w:hAnsi="Times New Roman" w:cs="Times New Roman"/>
          <w:sz w:val="24"/>
          <w:szCs w:val="24"/>
          <w:lang w:val="uz-Latn-UZ"/>
        </w:rPr>
      </w:pPr>
      <w:r w:rsidRPr="00830616">
        <w:rPr>
          <w:rFonts w:ascii="Times New Roman" w:eastAsia="Calibri" w:hAnsi="Times New Roman" w:cs="Times New Roman"/>
          <w:sz w:val="24"/>
          <w:szCs w:val="24"/>
          <w:lang w:val="uz-Latn-UZ" w:eastAsia="zh-CN" w:bidi="ar"/>
        </w:rPr>
        <w:t xml:space="preserve">Tegishli barcha savollar bo‘yicha TDYUning Ta’lim sifatini nazorat qilish bo‘limi bilan </w:t>
      </w:r>
      <w:r w:rsidR="00C7575F">
        <w:rPr>
          <w:rFonts w:ascii="Times New Roman" w:eastAsia="Calibri" w:hAnsi="Times New Roman" w:cs="Times New Roman"/>
          <w:sz w:val="24"/>
          <w:szCs w:val="24"/>
          <w:lang w:val="uz-Latn-UZ" w:eastAsia="zh-CN" w:bidi="ar"/>
        </w:rPr>
        <w:t xml:space="preserve">quyidagi elektron pochta orqali </w:t>
      </w:r>
      <w:r w:rsidRPr="00830616">
        <w:rPr>
          <w:rFonts w:ascii="Times New Roman" w:eastAsia="Calibri" w:hAnsi="Times New Roman" w:cs="Times New Roman"/>
          <w:sz w:val="24"/>
          <w:szCs w:val="24"/>
          <w:lang w:val="uz-Latn-UZ" w:eastAsia="zh-CN" w:bidi="ar"/>
        </w:rPr>
        <w:t xml:space="preserve">bog‘laning: </w:t>
      </w:r>
      <w:hyperlink r:id="rId10" w:history="1">
        <w:r w:rsidRPr="00830616">
          <w:rPr>
            <w:rStyle w:val="a4"/>
            <w:rFonts w:ascii="Times New Roman" w:hAnsi="Times New Roman" w:cs="Times New Roman"/>
            <w:sz w:val="24"/>
            <w:szCs w:val="24"/>
            <w:lang w:val="uz-Latn-UZ"/>
          </w:rPr>
          <w:t>b.akmalxonov@tsul.uz</w:t>
        </w:r>
      </w:hyperlink>
      <w:r w:rsidRPr="00830616">
        <w:rPr>
          <w:rFonts w:ascii="Times New Roman" w:eastAsia="Calibri" w:hAnsi="Times New Roman" w:cs="Times New Roman"/>
          <w:sz w:val="24"/>
          <w:szCs w:val="24"/>
          <w:lang w:val="uz-Latn-UZ" w:eastAsia="zh-CN" w:bidi="ar"/>
        </w:rPr>
        <w:t xml:space="preserve"> </w:t>
      </w:r>
    </w:p>
    <w:p w:rsidR="00897838" w:rsidRPr="00830616" w:rsidRDefault="00897838" w:rsidP="00C7575F">
      <w:pPr>
        <w:spacing w:after="0" w:line="276" w:lineRule="auto"/>
        <w:ind w:firstLine="851"/>
        <w:jc w:val="both"/>
        <w:rPr>
          <w:rFonts w:ascii="Times New Roman" w:hAnsi="Times New Roman" w:cs="Times New Roman"/>
          <w:sz w:val="24"/>
          <w:szCs w:val="24"/>
          <w:lang w:val="uz-Latn-UZ"/>
        </w:rPr>
      </w:pPr>
    </w:p>
    <w:sectPr w:rsidR="00897838" w:rsidRPr="00830616">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BBD" w:rsidRDefault="00DF2BBD">
      <w:pPr>
        <w:spacing w:line="240" w:lineRule="auto"/>
      </w:pPr>
      <w:r>
        <w:separator/>
      </w:r>
    </w:p>
  </w:endnote>
  <w:endnote w:type="continuationSeparator" w:id="0">
    <w:p w:rsidR="00DF2BBD" w:rsidRDefault="00DF2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UZ">
    <w:altName w:val="Times New Roman"/>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sdtPr>
    <w:sdtEndPr/>
    <w:sdtContent>
      <w:p w:rsidR="00897838" w:rsidRDefault="0054654B">
        <w:pPr>
          <w:pStyle w:val="a9"/>
          <w:jc w:val="center"/>
        </w:pPr>
        <w:r>
          <w:fldChar w:fldCharType="begin"/>
        </w:r>
        <w:r>
          <w:instrText>PAGE   \* MERGEFORMAT</w:instrText>
        </w:r>
        <w:r>
          <w:fldChar w:fldCharType="separate"/>
        </w:r>
        <w:r w:rsidR="00DF2BBD">
          <w:rPr>
            <w:noProof/>
          </w:rPr>
          <w:t>1</w:t>
        </w:r>
        <w:r>
          <w:fldChar w:fldCharType="end"/>
        </w:r>
      </w:p>
    </w:sdtContent>
  </w:sdt>
  <w:p w:rsidR="00897838" w:rsidRDefault="0089783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BBD" w:rsidRDefault="00DF2BBD">
      <w:pPr>
        <w:spacing w:after="0"/>
      </w:pPr>
      <w:r>
        <w:separator/>
      </w:r>
    </w:p>
  </w:footnote>
  <w:footnote w:type="continuationSeparator" w:id="0">
    <w:p w:rsidR="00DF2BBD" w:rsidRDefault="00DF2B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AB0873"/>
    <w:multiLevelType w:val="multilevel"/>
    <w:tmpl w:val="E5AB087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51D31DD"/>
    <w:multiLevelType w:val="multilevel"/>
    <w:tmpl w:val="151D31DD"/>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E83226"/>
    <w:multiLevelType w:val="multilevel"/>
    <w:tmpl w:val="27E832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592AC1"/>
    <w:multiLevelType w:val="multilevel"/>
    <w:tmpl w:val="2F592AC1"/>
    <w:lvl w:ilvl="0">
      <w:start w:val="1"/>
      <w:numFmt w:val="bullet"/>
      <w:lvlText w:val=""/>
      <w:lvlJc w:val="left"/>
      <w:pPr>
        <w:ind w:left="1353"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2373"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3093"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813"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533"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5253"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973"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693"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7413"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48F521F6"/>
    <w:multiLevelType w:val="multilevel"/>
    <w:tmpl w:val="48F52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zMTY3MLY0M7E0MzBU0lEKTi0uzszPAykwqQUAKn2EpCwAAAA="/>
  </w:docVars>
  <w:rsids>
    <w:rsidRoot w:val="00A67BF0"/>
    <w:rsid w:val="000117DD"/>
    <w:rsid w:val="00036D3C"/>
    <w:rsid w:val="000844B9"/>
    <w:rsid w:val="00097EA5"/>
    <w:rsid w:val="000B553D"/>
    <w:rsid w:val="000E3C24"/>
    <w:rsid w:val="00110D01"/>
    <w:rsid w:val="0013202E"/>
    <w:rsid w:val="00132405"/>
    <w:rsid w:val="00171769"/>
    <w:rsid w:val="001749E9"/>
    <w:rsid w:val="001945D2"/>
    <w:rsid w:val="001948AC"/>
    <w:rsid w:val="001D11A1"/>
    <w:rsid w:val="001E3554"/>
    <w:rsid w:val="001E486E"/>
    <w:rsid w:val="002129E6"/>
    <w:rsid w:val="002545DE"/>
    <w:rsid w:val="00262E77"/>
    <w:rsid w:val="002671E8"/>
    <w:rsid w:val="00270A4A"/>
    <w:rsid w:val="00275378"/>
    <w:rsid w:val="00284F2D"/>
    <w:rsid w:val="00293B8F"/>
    <w:rsid w:val="002A52C9"/>
    <w:rsid w:val="002F730D"/>
    <w:rsid w:val="00321261"/>
    <w:rsid w:val="003217BD"/>
    <w:rsid w:val="0032413D"/>
    <w:rsid w:val="00325451"/>
    <w:rsid w:val="003652B3"/>
    <w:rsid w:val="003665F5"/>
    <w:rsid w:val="003809D1"/>
    <w:rsid w:val="0038171F"/>
    <w:rsid w:val="003869AC"/>
    <w:rsid w:val="003B4D2D"/>
    <w:rsid w:val="003B4F1F"/>
    <w:rsid w:val="003B7B48"/>
    <w:rsid w:val="003D0FD3"/>
    <w:rsid w:val="003D7CCD"/>
    <w:rsid w:val="003F401A"/>
    <w:rsid w:val="004165D9"/>
    <w:rsid w:val="00446179"/>
    <w:rsid w:val="004752E8"/>
    <w:rsid w:val="004C0933"/>
    <w:rsid w:val="004E4E6A"/>
    <w:rsid w:val="004E51C2"/>
    <w:rsid w:val="00515A65"/>
    <w:rsid w:val="005412C5"/>
    <w:rsid w:val="0054654B"/>
    <w:rsid w:val="00560454"/>
    <w:rsid w:val="00571774"/>
    <w:rsid w:val="00573E78"/>
    <w:rsid w:val="00581E34"/>
    <w:rsid w:val="005A4C02"/>
    <w:rsid w:val="005C016F"/>
    <w:rsid w:val="005C182E"/>
    <w:rsid w:val="005D7FD7"/>
    <w:rsid w:val="005F6588"/>
    <w:rsid w:val="006350CA"/>
    <w:rsid w:val="00642DED"/>
    <w:rsid w:val="00652443"/>
    <w:rsid w:val="006537CF"/>
    <w:rsid w:val="0065653B"/>
    <w:rsid w:val="006574BB"/>
    <w:rsid w:val="0068404A"/>
    <w:rsid w:val="006864B5"/>
    <w:rsid w:val="006D7697"/>
    <w:rsid w:val="006E7908"/>
    <w:rsid w:val="007866BC"/>
    <w:rsid w:val="007D590F"/>
    <w:rsid w:val="007D7F4A"/>
    <w:rsid w:val="007F1B4B"/>
    <w:rsid w:val="007F7A21"/>
    <w:rsid w:val="00811AFC"/>
    <w:rsid w:val="00820AD3"/>
    <w:rsid w:val="00830616"/>
    <w:rsid w:val="0083323B"/>
    <w:rsid w:val="0085001D"/>
    <w:rsid w:val="008777AA"/>
    <w:rsid w:val="00885694"/>
    <w:rsid w:val="00897838"/>
    <w:rsid w:val="008A730C"/>
    <w:rsid w:val="008B5B9E"/>
    <w:rsid w:val="008E2A49"/>
    <w:rsid w:val="00922419"/>
    <w:rsid w:val="00942B43"/>
    <w:rsid w:val="00987095"/>
    <w:rsid w:val="009C0EFE"/>
    <w:rsid w:val="009C683E"/>
    <w:rsid w:val="00A07A6F"/>
    <w:rsid w:val="00A17A52"/>
    <w:rsid w:val="00A346A5"/>
    <w:rsid w:val="00A572B8"/>
    <w:rsid w:val="00A67BF0"/>
    <w:rsid w:val="00A800B2"/>
    <w:rsid w:val="00AE56A3"/>
    <w:rsid w:val="00B04ED8"/>
    <w:rsid w:val="00B27CC9"/>
    <w:rsid w:val="00B572A0"/>
    <w:rsid w:val="00B64D7B"/>
    <w:rsid w:val="00B80D5E"/>
    <w:rsid w:val="00B92B31"/>
    <w:rsid w:val="00B95207"/>
    <w:rsid w:val="00C014A3"/>
    <w:rsid w:val="00C45809"/>
    <w:rsid w:val="00C53F2E"/>
    <w:rsid w:val="00C54135"/>
    <w:rsid w:val="00C60045"/>
    <w:rsid w:val="00C7575F"/>
    <w:rsid w:val="00C91D56"/>
    <w:rsid w:val="00C951C3"/>
    <w:rsid w:val="00CB63A8"/>
    <w:rsid w:val="00CC108C"/>
    <w:rsid w:val="00CD6806"/>
    <w:rsid w:val="00CE7759"/>
    <w:rsid w:val="00D17796"/>
    <w:rsid w:val="00D23134"/>
    <w:rsid w:val="00D23999"/>
    <w:rsid w:val="00D553AE"/>
    <w:rsid w:val="00DC25B9"/>
    <w:rsid w:val="00DD6AC4"/>
    <w:rsid w:val="00DE4DA0"/>
    <w:rsid w:val="00DF2BBD"/>
    <w:rsid w:val="00E23DEA"/>
    <w:rsid w:val="00E25B36"/>
    <w:rsid w:val="00E333C8"/>
    <w:rsid w:val="00E62F5A"/>
    <w:rsid w:val="00E80ED4"/>
    <w:rsid w:val="00E81857"/>
    <w:rsid w:val="00ED27E1"/>
    <w:rsid w:val="00ED6C75"/>
    <w:rsid w:val="00F363C6"/>
    <w:rsid w:val="00F848AA"/>
    <w:rsid w:val="00FB0FD2"/>
    <w:rsid w:val="00FD44F3"/>
    <w:rsid w:val="01077E3F"/>
    <w:rsid w:val="05AA28AA"/>
    <w:rsid w:val="1182515E"/>
    <w:rsid w:val="1C7356E1"/>
    <w:rsid w:val="276D425C"/>
    <w:rsid w:val="2E4E7E96"/>
    <w:rsid w:val="4C365845"/>
    <w:rsid w:val="4D53283A"/>
    <w:rsid w:val="5BBE0E06"/>
    <w:rsid w:val="5F2C3AA7"/>
    <w:rsid w:val="61447A3D"/>
    <w:rsid w:val="716E36FE"/>
    <w:rsid w:val="734350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21E34-BBD0-4F36-AE56-121AE418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954F72"/>
      <w:u w:val="single"/>
    </w:rPr>
  </w:style>
  <w:style w:type="character" w:styleId="a4">
    <w:name w:val="Hyperlink"/>
    <w:basedOn w:val="a0"/>
    <w:uiPriority w:val="99"/>
    <w:unhideWhenUsed/>
    <w:qFormat/>
    <w:rPr>
      <w:color w:val="0000FF"/>
      <w:u w:val="single"/>
    </w:rPr>
  </w:style>
  <w:style w:type="paragraph" w:styleId="a5">
    <w:name w:val="header"/>
    <w:basedOn w:val="a"/>
    <w:link w:val="a6"/>
    <w:uiPriority w:val="99"/>
    <w:unhideWhenUsed/>
    <w:qFormat/>
    <w:pPr>
      <w:tabs>
        <w:tab w:val="center" w:pos="4513"/>
        <w:tab w:val="right" w:pos="9026"/>
      </w:tabs>
      <w:spacing w:after="0" w:line="240" w:lineRule="auto"/>
    </w:pPr>
  </w:style>
  <w:style w:type="paragraph" w:styleId="a7">
    <w:name w:val="Body Text Indent"/>
    <w:basedOn w:val="a"/>
    <w:link w:val="a8"/>
    <w:qFormat/>
    <w:pPr>
      <w:spacing w:after="120" w:line="240" w:lineRule="auto"/>
      <w:ind w:left="283"/>
    </w:pPr>
    <w:rPr>
      <w:rFonts w:ascii="TimesUZ" w:eastAsia="Times New Roman" w:hAnsi="TimesUZ" w:cs="Times New Roman"/>
      <w:kern w:val="0"/>
      <w:sz w:val="24"/>
      <w:szCs w:val="24"/>
      <w:lang w:val="en" w:eastAsia="ru-RU"/>
      <w14:ligatures w14:val="none"/>
    </w:rPr>
  </w:style>
  <w:style w:type="paragraph" w:styleId="a9">
    <w:name w:val="footer"/>
    <w:basedOn w:val="a"/>
    <w:link w:val="aa"/>
    <w:uiPriority w:val="99"/>
    <w:unhideWhenUsed/>
    <w:qFormat/>
    <w:pPr>
      <w:tabs>
        <w:tab w:val="center" w:pos="4513"/>
        <w:tab w:val="right" w:pos="9026"/>
      </w:tabs>
      <w:spacing w:after="0" w:line="240" w:lineRule="auto"/>
    </w:p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character" w:customStyle="1" w:styleId="a6">
    <w:name w:val="Верхний колонтитул Знак"/>
    <w:basedOn w:val="a0"/>
    <w:link w:val="a5"/>
    <w:uiPriority w:val="99"/>
    <w:qFormat/>
  </w:style>
  <w:style w:type="character" w:customStyle="1" w:styleId="aa">
    <w:name w:val="Нижний колонтитул Знак"/>
    <w:basedOn w:val="a0"/>
    <w:link w:val="a9"/>
    <w:uiPriority w:val="99"/>
    <w:qFormat/>
  </w:style>
  <w:style w:type="paragraph" w:styleId="ad">
    <w:name w:val="No Spacing"/>
    <w:uiPriority w:val="1"/>
    <w:qFormat/>
    <w:rPr>
      <w:rFonts w:asciiTheme="minorHAnsi" w:eastAsiaTheme="minorHAnsi" w:hAnsiTheme="minorHAnsi" w:cstheme="minorBidi"/>
      <w:kern w:val="2"/>
      <w:sz w:val="22"/>
      <w:szCs w:val="22"/>
      <w:lang w:val="en-GB" w:eastAsia="en-US"/>
      <w14:ligatures w14:val="standardContextual"/>
    </w:rPr>
  </w:style>
  <w:style w:type="character" w:customStyle="1" w:styleId="a8">
    <w:name w:val="Основной текст с отступом Знак"/>
    <w:basedOn w:val="a0"/>
    <w:link w:val="a7"/>
    <w:qFormat/>
    <w:rPr>
      <w:rFonts w:ascii="TimesUZ" w:eastAsia="Times New Roman" w:hAnsi="TimesUZ" w:cs="Times New Roman"/>
      <w:kern w:val="0"/>
      <w:sz w:val="24"/>
      <w:szCs w:val="24"/>
      <w:lang w:val="en" w:eastAsia="ru-RU"/>
      <w14:ligatures w14:val="none"/>
    </w:rPr>
  </w:style>
  <w:style w:type="table" w:customStyle="1" w:styleId="TableNormal">
    <w:name w:val="Table Normal"/>
    <w:qFormat/>
    <w:pPr>
      <w:widowControl w:val="0"/>
    </w:pPr>
    <w:rPr>
      <w:rFonts w:ascii="Arial" w:eastAsia="Arial" w:hAnsi="Arial" w:cs="Arial"/>
    </w:rPr>
    <w:tblPr>
      <w:tblCellMar>
        <w:top w:w="0" w:type="dxa"/>
        <w:left w:w="0" w:type="dxa"/>
        <w:bottom w:w="0" w:type="dxa"/>
        <w:right w:w="0" w:type="dxa"/>
      </w:tblCellMar>
    </w:tblPr>
  </w:style>
  <w:style w:type="paragraph" w:customStyle="1" w:styleId="msonospacing0">
    <w:name w:val="msonospacing"/>
    <w:qFormat/>
    <w:rPr>
      <w:rFonts w:cs="Times New Roman"/>
      <w:kern w:val="2"/>
      <w:sz w:val="22"/>
      <w:szCs w:val="22"/>
      <w:lang w:val="en-US" w:eastAsia="zh-CN"/>
    </w:rPr>
  </w:style>
  <w:style w:type="paragraph" w:customStyle="1" w:styleId="msolistparagraph0">
    <w:name w:val="msolistparagraph"/>
    <w:qFormat/>
    <w:pPr>
      <w:spacing w:after="160" w:line="256" w:lineRule="auto"/>
      <w:ind w:left="720"/>
      <w:contextualSpacing/>
    </w:pPr>
    <w:rPr>
      <w:rFonts w:cs="Times New Roman"/>
      <w:kern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3244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3452</Words>
  <Characters>19679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Grimes</dc:creator>
  <cp:lastModifiedBy>Dell</cp:lastModifiedBy>
  <cp:revision>20</cp:revision>
  <dcterms:created xsi:type="dcterms:W3CDTF">2024-08-11T13:29:00Z</dcterms:created>
  <dcterms:modified xsi:type="dcterms:W3CDTF">2025-11-03T14:11:00Z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14CEEA1F8B694802AAFC7D3A37A73644_13</vt:lpwstr>
  </property>
</Properties>
</file>